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526B23" w:rsidRPr="00526B23" w:rsidTr="00526B23">
        <w:trPr>
          <w:tblCellSpacing w:w="0" w:type="dxa"/>
        </w:trPr>
        <w:tc>
          <w:tcPr>
            <w:tcW w:w="12135" w:type="dxa"/>
            <w:gridSpan w:val="2"/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https://zakonst.rada.gov.ua/images/gerb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https://zakonst.rada.gov.ua/images/ger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7Xld&#10;nfsCAAD8BQAADgAAAAAAAAAAAAAAAAAuAgAAZHJzL2Uyb0RvYy54bWxQSwECLQAUAAYACAAAACEA&#10;TKDpLNgAAAADAQAADwAAAAAAAAAAAAAAAABV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26B23" w:rsidRPr="00526B23" w:rsidTr="00526B23">
        <w:trPr>
          <w:tblCellSpacing w:w="0" w:type="dxa"/>
        </w:trPr>
        <w:tc>
          <w:tcPr>
            <w:tcW w:w="12135" w:type="dxa"/>
            <w:gridSpan w:val="2"/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МІНІСТЕРСТВО ОСВІТИ І НАУКИ УКРАЇНИ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МІНІСТЕРСТВО ОХОРОНИ ЗДОРОВ’Я УКРАЇНИ</w:t>
            </w:r>
          </w:p>
        </w:tc>
      </w:tr>
      <w:tr w:rsidR="00526B23" w:rsidRPr="00526B23" w:rsidTr="00526B23">
        <w:trPr>
          <w:tblCellSpacing w:w="0" w:type="dxa"/>
        </w:trPr>
        <w:tc>
          <w:tcPr>
            <w:tcW w:w="12135" w:type="dxa"/>
            <w:gridSpan w:val="2"/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</w:tr>
      <w:tr w:rsidR="00526B23" w:rsidRPr="00526B23" w:rsidTr="00526B23">
        <w:trPr>
          <w:tblCellSpacing w:w="0" w:type="dxa"/>
        </w:trPr>
        <w:tc>
          <w:tcPr>
            <w:tcW w:w="12135" w:type="dxa"/>
            <w:gridSpan w:val="2"/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29.08.2016  № 1027/900</w:t>
            </w:r>
          </w:p>
        </w:tc>
      </w:tr>
      <w:tr w:rsidR="00526B23" w:rsidRPr="00526B23" w:rsidTr="00526B23">
        <w:trPr>
          <w:tblCellSpacing w:w="0" w:type="dxa"/>
        </w:trPr>
        <w:tc>
          <w:tcPr>
            <w:tcW w:w="3000" w:type="pct"/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</w:p>
        </w:tc>
        <w:tc>
          <w:tcPr>
            <w:tcW w:w="2000" w:type="pct"/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Зареєстровано в Міністерстві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юстиції України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27 грудня 2016 р.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№ 1707/29837</w:t>
            </w:r>
          </w:p>
        </w:tc>
      </w:tr>
    </w:tbl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Деякі питання участі в зовнішньому незалежному оцінюванні та вступних іспитах </w:t>
      </w:r>
      <w:proofErr w:type="gramStart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gramEnd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які мають певні захворювання та/або патологічні стани, інвалідність</w:t>
      </w:r>
    </w:p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41"/>
      <w:bookmarkEnd w:id="2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{Із змінами, внесеними згідно з Наказом </w:t>
      </w:r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Міністерства освіти і науки </w:t>
      </w:r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anchor="n2" w:tgtFrame="_blank" w:history="1"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194/331 від 14.02.2019</w:t>
        </w:r>
      </w:hyperlink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5"/>
      <w:bookmarkEnd w:id="3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</w:t>
      </w:r>
      <w:hyperlink r:id="rId6" w:anchor="n750" w:tgtFrame="_blank" w:history="1"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частини третьої</w:t>
        </w:r>
      </w:hyperlink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статті 44 Закону України «Про вищу освіту», </w:t>
      </w:r>
      <w:hyperlink r:id="rId7" w:anchor="n121" w:tgtFrame="_blank" w:history="1">
        <w:proofErr w:type="gramStart"/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ідпункту 12</w:t>
        </w:r>
      </w:hyperlink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14 Порядку проведення зовнішнього незалежного оцінювання та моніторингу якості освіти, затвердженого постановою Кабінету Міністрів України від 25 серпня 2004 року № 1095 «Деякі питання запровадження зовнішнього незалежного оцінювання та моніторингу якості освіти» (в редакції постанови Кабінету Міні</w:t>
      </w:r>
      <w:proofErr w:type="gramStart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 від 08 липня 2015 року № 533), НАКАЗУЄМО:</w:t>
      </w:r>
    </w:p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6"/>
      <w:bookmarkEnd w:id="4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Затвердити такі, що додаються:</w:t>
      </w:r>
    </w:p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7"/>
      <w:bookmarkEnd w:id="5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8" w:anchor="n36" w:history="1"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Перелік захворювань та патологічних станів, що можуть бути перешкодою для проходження зовнішнього незалежного оцінювання</w:t>
        </w:r>
      </w:hyperlink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- Перелік захворювань та патологічних станів);</w:t>
      </w:r>
    </w:p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8"/>
      <w:bookmarkEnd w:id="6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9" w:anchor="n4" w:tgtFrame="_blank" w:history="1"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Перелік особливих (спеціальних) умов, що створюються для </w:t>
        </w:r>
        <w:proofErr w:type="gramStart"/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осіб</w:t>
        </w:r>
        <w:proofErr w:type="gramEnd"/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 особливими освітніми потребами в пунктах проведення зовнішнього незалежного оцінювання</w:t>
        </w:r>
      </w:hyperlink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- Перелік особливих умов);</w:t>
      </w:r>
    </w:p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9"/>
      <w:bookmarkEnd w:id="7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10" w:anchor="n4" w:tgtFrame="_blank" w:history="1"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форму первинної </w:t>
        </w:r>
        <w:proofErr w:type="gramStart"/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</w:t>
        </w:r>
        <w:proofErr w:type="gramEnd"/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ікової документації № 086-3/о «Медичний висновок про створення особливих (спеціальних) умов для проходження зовнішнього незалежного оцінювання» (далі - форма № 086-3/о) та інструкцію щодо її заповнення</w:t>
        </w:r>
      </w:hyperlink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</w:t>
      </w:r>
    </w:p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0"/>
      <w:bookmarkEnd w:id="8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11" w:anchor="n4" w:tgtFrame="_blank" w:history="1"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Порядок видачі та </w:t>
        </w:r>
        <w:proofErr w:type="gramStart"/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</w:t>
        </w:r>
        <w:proofErr w:type="gramEnd"/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іку форми первинної облікової документації № 086-3/о «Медичний висновок про створення особливих (спеціальних) умов для проходження зовнішнього незалежного оцінювання»</w:t>
        </w:r>
      </w:hyperlink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1"/>
      <w:bookmarkEnd w:id="9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Установити, що:</w:t>
      </w:r>
    </w:p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2"/>
      <w:bookmarkEnd w:id="10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1) інформація про захворювання або патологічний стан, що може бути перешкодою для проходження зовнішнього незалежного оцінювання, зазначається в одному із нижчезазначених документі</w:t>
      </w:r>
      <w:proofErr w:type="gramStart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3"/>
      <w:bookmarkEnd w:id="11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листку непрацездатності, форма якого затверджена наказом Міністерства охорони здоров'я України, Міністерства праці та </w:t>
      </w:r>
      <w:proofErr w:type="gramStart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іальної політики України, Фонду соціального страхування з тимчасової втрати працездатності, Фонду соціального страхування від </w:t>
      </w:r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нещасних випадків на виробництві та професійних захворювань України від 03 листопада 2004 року </w:t>
      </w:r>
      <w:hyperlink r:id="rId12" w:tgtFrame="_blank" w:history="1"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532/274/136-ос/1406</w:t>
        </w:r>
      </w:hyperlink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зареєстрованим у Міністерстві юстиції України 17 листопада 2004 року за  № 1454/10053, - для зайнятого населення;</w:t>
      </w:r>
    </w:p>
    <w:bookmarkStart w:id="12" w:name="n14"/>
    <w:bookmarkEnd w:id="12"/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"https://zakon.rada.gov.ua/laws/show/z0535-16" \l "n15" \t "_blank" </w:instrText>
      </w:r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526B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довідці про тимчасову непрацездатність поліцейського, військовослужбовця Національної гвардії України</w:t>
      </w:r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форма якої затверджена наказом Міністерства внутрішніх справ України від 23 березня 2016 року № 201, зареєстрованим у Міністерстві юстиції України 12 квітня 2016 року за № 535/28665, - для поліцейських, військовослужбовців Національно</w:t>
      </w:r>
      <w:proofErr w:type="gramEnd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ї гвардії України;</w:t>
      </w:r>
    </w:p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5"/>
      <w:bookmarkEnd w:id="13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довідці про тимчасову непрацездатність військовослужбовця, виданій органом, у сфері управління якого перебуває заклад охорони здоров’я, - для військовослужбовців строкової служби, офіцерів та військовослужбовців </w:t>
      </w:r>
      <w:proofErr w:type="gramStart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ійськової служби за контрактом;</w:t>
      </w:r>
    </w:p>
    <w:bookmarkStart w:id="14" w:name="n16"/>
    <w:bookmarkEnd w:id="14"/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"https://zakon.rada.gov.ua/laws/show/z0696-12" \l "n3" \t "_blank" </w:instrText>
      </w:r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26B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формі первинної </w:t>
      </w:r>
      <w:proofErr w:type="gramStart"/>
      <w:r w:rsidRPr="00526B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обл</w:t>
      </w:r>
      <w:proofErr w:type="gramEnd"/>
      <w:r w:rsidRPr="00526B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ікової документації № 095/о «Довідка №___ про тимчасову непрацездатність студента навчального закладу І - IV рівнів акредитації, про хворобу, карантин і інші причини відсутності дитини, яка відвідує загальноосвітній навчальний заклад, дошкільний навчальний заклад»</w:t>
      </w:r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затвердженій наказом Міністерства охорони здоров’я України від 14 лютого 2012 року </w:t>
      </w:r>
      <w:hyperlink r:id="rId13" w:tgtFrame="_blank" w:history="1"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110</w:t>
        </w:r>
      </w:hyperlink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зареєстрованим у Міністерстві юстиції України 28 квітня 2012 року за № 661/20974, - для учнів (слухачів, студентів) закладів загальної середньої, професійної (професійно-технічної), вищої освіти;</w:t>
      </w:r>
      <w:proofErr w:type="gramEnd"/>
    </w:p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42"/>
      <w:bookmarkEnd w:id="15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{Абзац п’ятий </w:t>
      </w:r>
      <w:proofErr w:type="gramStart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ідпункту 1 пункту 2 із змінами, внесеними згідно з Наказом Міністерства освіти і науки </w:t>
      </w:r>
      <w:hyperlink r:id="rId14" w:anchor="n9" w:tgtFrame="_blank" w:history="1"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194/331 від 14.02.2019</w:t>
        </w:r>
      </w:hyperlink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bookmarkStart w:id="16" w:name="n17"/>
    <w:bookmarkEnd w:id="16"/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"https://zakon.rada.gov.ua/laws/show/z0011-02" \t "_blank" </w:instrText>
      </w:r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26B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формі первинної </w:t>
      </w:r>
      <w:proofErr w:type="gramStart"/>
      <w:r w:rsidRPr="00526B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обл</w:t>
      </w:r>
      <w:proofErr w:type="gramEnd"/>
      <w:r w:rsidRPr="00526B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ікової документації № 080/о «Медичний висновок про </w:t>
      </w:r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15" w:tgtFrame="_blank" w:history="1"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дитину з інвалідністю</w:t>
        </w:r>
      </w:hyperlink>
      <w:hyperlink r:id="rId16" w:tgtFrame="_blank" w:history="1"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віком до 18 років»</w:t>
        </w:r>
      </w:hyperlink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наведеній у додатку до Порядку видачі медичного висновку про дитину з інвалідністю віком до 18 років, затвердженого наказом Міністерства охорони здоров’я України від 04 грудня 2001 року № 482, зареєстрованого в Міністерстві юстиції України 10 січня 2002 року за  № 11/6299, або </w:t>
      </w:r>
      <w:hyperlink r:id="rId17" w:tgtFrame="_blank" w:history="1"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Індивідуальній програмі реабілітації дитин</w:t>
        </w:r>
        <w:proofErr w:type="gramStart"/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и-</w:t>
        </w:r>
        <w:proofErr w:type="gramEnd"/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інваліда № _____ (вікова категорія від 0 до 18 років)</w:t>
        </w:r>
      </w:hyperlink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форма якої затверджена наказом Міністерства охорони здоров’я України від 08 жовтня 2007 року № 623, зареєстрованим у Міністерстві юстиції України 19 жовтня 2007 року за № 1197/14464, - для дітей з інвалідністю віком до 18 рокі</w:t>
      </w:r>
      <w:proofErr w:type="gramStart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43"/>
      <w:bookmarkEnd w:id="17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{Абзац шостий </w:t>
      </w:r>
      <w:proofErr w:type="gramStart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ідпункту 1 пункту 2 із змінами, внесеними згідно з Наказом Міністерства освіти і науки </w:t>
      </w:r>
      <w:hyperlink r:id="rId18" w:anchor="n10" w:tgtFrame="_blank" w:history="1"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194/331 від 14.02.2019</w:t>
        </w:r>
      </w:hyperlink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bookmarkStart w:id="18" w:name="n18"/>
    <w:bookmarkEnd w:id="18"/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"https://zakon.rada.gov.ua/laws/show/z1197-07" \t "_blank" </w:instrText>
      </w:r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526B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Індивідуальній програмі реабілітації інваліда № _____ (вікова категорія від 18 років і старше)</w:t>
      </w:r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форма якої затверджена наказом Міністерства охорони здоров’я України від 08 жовтня 2007 року № 623, зареєстрованим у Міністерстві юстиції України 19 жовтня 2007 року за № 1197/14464, - для осіб з інвалідн</w:t>
      </w:r>
      <w:proofErr w:type="gramEnd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істю віком від 18 рокі</w:t>
      </w:r>
      <w:proofErr w:type="gramStart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старше;</w:t>
      </w:r>
    </w:p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44"/>
      <w:bookmarkEnd w:id="19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{Абзац шостий </w:t>
      </w:r>
      <w:proofErr w:type="gramStart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ідпункту 1 пункту 2 із змінами, внесеними згідно з Наказом Міністерства освіти і науки </w:t>
      </w:r>
      <w:hyperlink r:id="rId19" w:anchor="n13" w:tgtFrame="_blank" w:history="1"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194/331 від 14.02.2019</w:t>
        </w:r>
      </w:hyperlink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bookmarkStart w:id="20" w:name="n19"/>
    <w:bookmarkEnd w:id="20"/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"https://zakon.rada.gov.ua/laws/show/z0682-12" \l "n3" \t "_blank" </w:instrText>
      </w:r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26B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формі первинної </w:t>
      </w:r>
      <w:proofErr w:type="gramStart"/>
      <w:r w:rsidRPr="00526B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обл</w:t>
      </w:r>
      <w:proofErr w:type="gramEnd"/>
      <w:r w:rsidRPr="00526B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ікової документації № 027/о «Виписка із медичної карти амбулаторного (стаціонарного) хворого»</w:t>
      </w:r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затвердженій наказом Міністерства охорони здоров’я України від 14 лютого 2012 року </w:t>
      </w:r>
      <w:hyperlink r:id="rId20" w:tgtFrame="_blank" w:history="1"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110</w:t>
        </w:r>
      </w:hyperlink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зареєстрованим у Міністерстві юстиції України 28 квітня 2012 року за  № 661/20974, - для інших осіб;</w:t>
      </w:r>
    </w:p>
    <w:bookmarkStart w:id="21" w:name="n20"/>
    <w:bookmarkEnd w:id="21"/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"https://zakon.rada.gov.ua/laws/show/z0681-12" \l "n3" \t "_blank" </w:instrText>
      </w:r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26B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формі первинної </w:t>
      </w:r>
      <w:proofErr w:type="gramStart"/>
      <w:r w:rsidRPr="00526B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обл</w:t>
      </w:r>
      <w:proofErr w:type="gramEnd"/>
      <w:r w:rsidRPr="00526B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ікової документації № 086/о «Медична довідка (лікарський консультаційний висновок)»</w:t>
      </w:r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затвердженій наказом Міністерства охорони здоров’я України від 14 лютого 2012 року </w:t>
      </w:r>
      <w:hyperlink r:id="rId21" w:tgtFrame="_blank" w:history="1"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110</w:t>
        </w:r>
      </w:hyperlink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зареєстрованим у Міністерстві юстиції України 28 квітня 2012 року за № 661/20974, - для інших осіб;</w:t>
      </w:r>
    </w:p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1"/>
      <w:bookmarkEnd w:id="22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про можливість створення в пунктах проведення зовнішнього незалежного оцінювання особливих (спеціальних) умов для осіб з особливими освітніми потребами, що не передбачені Переліком особливих умов, приймають регламентні комісії при регіональних центрах оцінювання якості освіти з урахуванням технології проведення зовнішнього незалежного оцінювання та матеріально-технічних можливостей пунктів проведення зовнішнього незалежного оцінювання;</w:t>
      </w:r>
    </w:p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2"/>
      <w:bookmarkEnd w:id="23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 участі в конкурсному відборі осіб, які на основі повної загальної середньої освіти вступають до закладів вищої освіти, за результатами вступних іспитів (екзаменів) з певног</w:t>
      </w:r>
      <w:proofErr w:type="gramStart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их) конкурсного(их) предмета(ів) у закладі вищої освіти допускаються:</w:t>
      </w:r>
    </w:p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3"/>
      <w:bookmarkEnd w:id="24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особи, які не брали участь в основній та додатковій сесіях зовнішнього незалежного оцінювання з цьог</w:t>
      </w:r>
      <w:proofErr w:type="gramStart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их) навчального(их) предмета(ів) через наявність захворювання або патологічного стану, що може бути перешкодою для проходження зовнішнього незалежного оцінювання, зазначеного в </w:t>
      </w:r>
      <w:hyperlink r:id="rId22" w:anchor="n36" w:history="1"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Переліку захворювань та патологічних станів</w:t>
        </w:r>
      </w:hyperlink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у разі подання до приймальної комісії закладу вищої освіти одного з документів, зазначених у </w:t>
      </w:r>
      <w:proofErr w:type="gramStart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ідпункті 1 цього пункту, або копії такого документа;</w:t>
      </w:r>
    </w:p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4"/>
      <w:bookmarkEnd w:id="25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особи, яким за </w:t>
      </w:r>
      <w:proofErr w:type="gramStart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ішенням регламентної комісії при регіональному центрі оцінювання якості освіти відмовлено в реєстрації для участі в зовнішньому незалежному оцінюванні результатів навчання, здобутих на основі повної загальної середньої освіти, через неможливість створення особливих (спеціальних) умов, - у разі подання до приймальної комісії закладу вищої освіти копії </w:t>
      </w:r>
      <w:hyperlink r:id="rId23" w:tgtFrame="_blank" w:history="1"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форми № 086-3/о</w:t>
        </w:r>
      </w:hyperlink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завіреної </w:t>
      </w:r>
      <w:proofErr w:type="gramStart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ідписом секретаря регламентної комісії при регіональному центрі оцінювання якості освіти і печаткою регіонального центру оцінювання якості освіти, та відповідного витягу з протоколу засідання регламентної комісії при регіональному центрі оцінювання якості освіти;</w:t>
      </w:r>
    </w:p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45"/>
      <w:bookmarkEnd w:id="26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{</w:t>
      </w:r>
      <w:proofErr w:type="gramStart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ідпункт 3 пункту 2 із змінами, внесеними згідно з Наказом Міністерства освіти і науки </w:t>
      </w:r>
      <w:hyperlink r:id="rId24" w:anchor="n14" w:tgtFrame="_blank" w:history="1"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194/331 від 14.02.2019</w:t>
        </w:r>
      </w:hyperlink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46"/>
      <w:bookmarkEnd w:id="27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особа з порушеннями зору, яка використовує(вала) в процесі навчання шрифт Брайля та потребує створення особливої (спеціальної) умови, зазначеної в </w:t>
      </w:r>
      <w:hyperlink r:id="rId25" w:tgtFrame="_blank" w:history="1"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Переліку особливих умов</w:t>
        </w:r>
      </w:hyperlink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кодом 0205, може бути зареєстрованою для проходження зовнішнього незалежного оцінювання з української мови і літератури, математики, історії України, біології (такій особі за </w:t>
      </w:r>
      <w:proofErr w:type="gramStart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ідсумками реєстрації надається витяг з протоколу засідання регламентної комісії при регіональному центрі оцінювання якості освіти, на якому ухвалено </w:t>
      </w:r>
      <w:proofErr w:type="gramStart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щодо створення особливої (спеціальної) умови за кодом 0205).</w:t>
      </w:r>
    </w:p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47"/>
      <w:bookmarkEnd w:id="28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 проведення вступних випробувань з інших конкурсних предметів для осіб, зазначених в абзаці першому цього </w:t>
      </w:r>
      <w:proofErr w:type="gramStart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ідпункту, визначаються окремо в умовах прийому на навчання до закладів вищої освіти, що затверджуються Міністерством освіти і науки України кожного року.</w:t>
      </w:r>
    </w:p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48"/>
      <w:bookmarkEnd w:id="29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{Пункт 2 доповнено новим </w:t>
      </w:r>
      <w:proofErr w:type="gramStart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ідпунктом 4 згідно з Наказом Міністерства освіти і науки </w:t>
      </w:r>
      <w:hyperlink r:id="rId26" w:anchor="n15" w:tgtFrame="_blank" w:history="1"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194/331 від 14.02.2019</w:t>
        </w:r>
      </w:hyperlink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25"/>
      <w:bookmarkEnd w:id="30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Місцевим органам виконавчої влади та органам місцевого самоврядування вживати заходів щодо забезпечення проходження особами з особливими освітніми потребами зовнішнього незалежного оцінювання у будівлях, спорудах та приміщеннях закладів освіти, що відповідають вимогам </w:t>
      </w:r>
      <w:proofErr w:type="gramStart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ідпунктів 6.1.1, 6.1.2 пункту 6.1, пункту 6.2, підпункту 6.6.1 пункту 6.6 ДБН В.2.2-17:2006 «Доступність будинків і споруд для маломобільних груп населення».</w:t>
      </w:r>
    </w:p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49"/>
      <w:bookmarkEnd w:id="31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{Пункт 3 із змінами, внесеними згідно з Наказом Міністерства освіти і науки </w:t>
      </w:r>
      <w:hyperlink r:id="rId27" w:anchor="n18" w:tgtFrame="_blank" w:history="1"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194/331 від 14.02.2019</w:t>
        </w:r>
      </w:hyperlink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26"/>
      <w:bookmarkEnd w:id="32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Департаменту загальної середньої та дошкільної освіти Міністерства освіти і науки України (Кононенко Ю.Г.) спільно з Українським центром оцінювання якості освіти (Бойко В.І.) організувати:</w:t>
      </w:r>
    </w:p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50"/>
      <w:bookmarkEnd w:id="33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 2019 році </w:t>
      </w:r>
      <w:proofErr w:type="gramStart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додаткової сесії зовнішнього незалежного оцінювання з української мови і літератури, математики, історії України, біології апробацію технології проведення зовнішнього незалежного оцінювання для осіб із глибокими порушеннями зору, яка передбачає використання комп’ютерної техніки та спеціальних програмних засобів для сліпих і слабозорих людей;</w:t>
      </w:r>
    </w:p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51"/>
      <w:bookmarkEnd w:id="34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 2023 року розроблення та апробацію технології проведення зовнішнього незалежного оцінювання з іноземної мови для </w:t>
      </w:r>
      <w:proofErr w:type="gramStart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gramEnd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глибокими порушеннями зору.</w:t>
      </w:r>
    </w:p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52"/>
      <w:bookmarkEnd w:id="35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{Пункт 4 в редакції Наказу Міністерства освіти і науки </w:t>
      </w:r>
      <w:hyperlink r:id="rId28" w:anchor="n19" w:tgtFrame="_blank" w:history="1"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194/331 від 14.02.2019</w:t>
        </w:r>
      </w:hyperlink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27"/>
      <w:bookmarkEnd w:id="36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Визнати таким, що втратив чинність, </w:t>
      </w:r>
      <w:hyperlink r:id="rId29" w:tgtFrame="_blank" w:history="1"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наказ Міністерства освіти і науки України, Міністерства охорони здоров’я України від 25 лютого 2008 року № 124/95</w:t>
        </w:r>
      </w:hyperlink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затвердження Переліку захворювань, що можуть бути перешкодою для проходження громадянами зовнішнього незалежного оцінювання», зареєстрований у Міністерстві юстиції України 07 березня 2008</w:t>
      </w:r>
      <w:proofErr w:type="gramEnd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за № 189/14880.</w:t>
      </w:r>
    </w:p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28"/>
      <w:bookmarkEnd w:id="37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Департаменту вищої освіти Міністерства освіти і науки України  (Шаров О.І.) подати цей наказ на державну реєстрацію до Міністерства юстиції України.</w:t>
      </w:r>
    </w:p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30"/>
      <w:bookmarkEnd w:id="38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за виконанням наказу покласти на заступників Міністра освіти і науки України та Міністра охорони здоров’я України відповідно до розподілу функціональних обов’язкі</w:t>
      </w:r>
      <w:proofErr w:type="gramStart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31"/>
      <w:bookmarkEnd w:id="39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Цей наказ набирає чинності з дня його офіційного опублікування.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526B23" w:rsidRPr="00526B23" w:rsidTr="00526B23">
        <w:trPr>
          <w:tblCellSpacing w:w="0" w:type="dxa"/>
        </w:trPr>
        <w:tc>
          <w:tcPr>
            <w:tcW w:w="2100" w:type="pct"/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n32"/>
            <w:bookmarkEnd w:id="40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освіти і науки України</w:t>
            </w:r>
          </w:p>
        </w:tc>
        <w:tc>
          <w:tcPr>
            <w:tcW w:w="3500" w:type="pct"/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Гриневич</w:t>
            </w:r>
          </w:p>
        </w:tc>
      </w:tr>
      <w:tr w:rsidR="00526B23" w:rsidRPr="00526B23" w:rsidTr="00526B23">
        <w:trPr>
          <w:tblCellSpacing w:w="0" w:type="dxa"/>
        </w:trPr>
        <w:tc>
          <w:tcPr>
            <w:tcW w:w="2100" w:type="pct"/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n33"/>
            <w:bookmarkEnd w:id="41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В.о. Міністра охорони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здоров’я України</w:t>
            </w:r>
          </w:p>
        </w:tc>
        <w:tc>
          <w:tcPr>
            <w:tcW w:w="3500" w:type="pct"/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У.Супрун</w:t>
            </w:r>
          </w:p>
        </w:tc>
      </w:tr>
    </w:tbl>
    <w:p w:rsidR="00526B23" w:rsidRPr="00526B23" w:rsidRDefault="00526B23" w:rsidP="00526B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2" w:name="n40"/>
      <w:bookmarkStart w:id="43" w:name="n34"/>
      <w:bookmarkEnd w:id="42"/>
      <w:bookmarkEnd w:id="4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526B23" w:rsidRPr="00526B23" w:rsidTr="00526B23">
        <w:trPr>
          <w:tblCellSpacing w:w="0" w:type="dxa"/>
        </w:trPr>
        <w:tc>
          <w:tcPr>
            <w:tcW w:w="3000" w:type="pct"/>
            <w:hideMark/>
          </w:tcPr>
          <w:p w:rsid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00" w:type="pct"/>
            <w:hideMark/>
          </w:tcPr>
          <w:p w:rsid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Наказ Міністерства освіти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 науки України,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Міністерства охорони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здоров’я України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29.08.2016 № 1027/900</w:t>
            </w:r>
          </w:p>
        </w:tc>
      </w:tr>
      <w:tr w:rsidR="00526B23" w:rsidRPr="00526B23" w:rsidTr="00526B23">
        <w:trPr>
          <w:tblCellSpacing w:w="0" w:type="dxa"/>
        </w:trPr>
        <w:tc>
          <w:tcPr>
            <w:tcW w:w="3000" w:type="pct"/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n35"/>
            <w:bookmarkEnd w:id="44"/>
          </w:p>
        </w:tc>
        <w:tc>
          <w:tcPr>
            <w:tcW w:w="2000" w:type="pct"/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Зареєстровано в Міністерстві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юстиції України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27 грудня 2016 р.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№ 1707/29837</w:t>
            </w:r>
          </w:p>
        </w:tc>
      </w:tr>
    </w:tbl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36"/>
      <w:bookmarkEnd w:id="45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ПЕРЕЛІК </w:t>
      </w:r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захворювань та патологічних станів, що можуть бути перешкодою для проходження зовнішнього незалежного оцінювання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4064"/>
        <w:gridCol w:w="1136"/>
        <w:gridCol w:w="3635"/>
      </w:tblGrid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n37"/>
            <w:bookmarkEnd w:id="46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захворювання або патологічного стану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за МКХ-10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Період,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якого захворювання та його наслідки або патологічний стан можуть бути перешкодою для проходження зовнішнього незалежного оцінювання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Активний туберкульоз органів дихання і позалегеневих локалізацій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А15-А19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хвороби та протягом одного року після виліковування</w:t>
            </w:r>
          </w:p>
        </w:tc>
      </w:tr>
      <w:tr w:rsidR="00526B23" w:rsidRPr="00526B23" w:rsidTr="00526B23">
        <w:trPr>
          <w:trHeight w:val="510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Злоякісні новоутворення всіх локалізацій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С00-С97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хвороби та протягом одного року після виліковування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Хвороби крові, кровотворних органі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окремі порушення із залученням імунного механізму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Анемії (середньотяжкі і тяжкі форми),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з харчуванням, гемолітичні анемії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D50-D53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D55-D59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хвороби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Апластичні анемії вроджені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D61.0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спеціального лікування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Апластичні анемії набуті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D61.1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D61.2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D61.3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хвороби та протягом року після виліковування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Гемофілія (тяжкі форми)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D66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D67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спеціального лікування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Гемофілія (легкі та середньотяжкі форми)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D66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D67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загострення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Агранулоцитоз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D70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загострення та протягом шести місяців із моменту ремісії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Ідіопатична тромбоцитопенічна пурпура (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хвороба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Верльгофа)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D69.3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хвороби та протягом одного року після виліковування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трансплантації кісткового мозку, печінки, нирок, інших органів (без ускладнень)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імуносупресивної терапії та протягом одного року після її закінчення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Вроджені імунодефіцитні стани, що супроводжуються рецидивами інфекційних ускладнень,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патологічними змінами кровотворної системи, інших органі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D80-D82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D84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G11.3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E31.0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E85.0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Q80.3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Q99.8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D61.0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D70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D71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B37.2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спеціального лікування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0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Хвороби ендокринної системи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Захворювання гіпофіза, щитоподібної залози, наднирників, паращитовидних залоз із значним або помірним порушенням функції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Е00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Е03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Е05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Е06.0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Е06.1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Е20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Е21.0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Е21.1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Е22.0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Е23.0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Е24.0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Е24.1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Е24.3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Е24.8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Е24.9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Е25.0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Е26.0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Е27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клініко-гормональної субкомпенсації або декомпенсації на фоні медикаментозної терапії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медичних процедур на ендокринній залозі (оперативне видалення, в тому числі часткове, променева терапія тощо)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Е21.0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Е22.0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Е22.8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Е24.3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Е26.0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С73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С74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С75.0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С75.1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клініко-гормональної субкомпенсації або декомпенсації на фоні замісної терапії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Цукровий діабет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Е10-Е14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клініко-метаболічної субкомпенсації або декомпенсації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Розлади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іки та поведінки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Гострі і транзиторні психотичні розлади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F23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психотичного стану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Помірний чи тяжкий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ізод рекурентної чи біполярної депресії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F32.1-F32.3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ізоду афективних розладів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Маніакальний чи змішаний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ізод з психотичними чи без психотичних симптомів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F30.1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F30.2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ізоду афективних розладів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Тривожно-фобічні розлади (агорафобія,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 фобії, специфічні (ізольовані) фобії, що зумовлюють стани, що впливають на процедуру оцінювання)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F40.0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F40.1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періоду загострення,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яке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впливає на ситуацію оцінювання, визначеного психіатром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Панічний розлад помірної тяжкості та тяжкий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F41.00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F41.01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періоду загострення, визначеного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іатром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Генералізований тривожний розлад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F41.1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періоду загострення, визначеного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іатром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Обсесивно-компульсивний розлад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F42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періоду неконтрольованих пацієнтом обсесій, визначеного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іатром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Розлади харчової поведінки (анорексія, булемія)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F50.0-F50.3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періоду часу, коли вага пацієнта потребуватиме інтенсивної терапії, реабілітаційних заході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Гіперкінетичні розлади (стани з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тяжкими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порушеннями активності та уваги, що потребують особливих умов при оцінюванні)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F90.0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F90.1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періоду часу, коли порушення активності та уваги потребують особливих умов для оцінювання, визначеного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іатром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Елективний мутизм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F94.0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періоду часу, при якому стан мовленнєвої комунікації вимагатиме створення особливих умов для оцінювання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Тикозні розлади з тяжкими стигматизуючими вокалізаціями чи моторними тиками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F95.1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F95.2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періоду загострення тикозної симптоматики, визначеного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іатром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Розлади загального розвитку (аутистичні розлади) при тяжких порушеннях концентраційної функції уваги, тяжкій стереотипній поведінці, агресії, аутоагресії, коморбідній депресії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F84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періоду загострення симптоматики, яка вимагає створення особливих умов для оцінювання дитини, тривалість якого визначає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іатр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Хвороби нервової системи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Прогресуючі захворювання нервової системи (м’язова дистрофія, розсіяний склероз тощо)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G11-G73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Постійно, але в разі неможливості створення особливих (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іальних) умов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Захворювання нервової системи в гострому та відновному періодах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G09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I69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T90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одного року з початку захворювання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ілепсія та епілептичні синдроми у фармакорезистентній формі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G40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526B23" w:rsidRPr="00526B23" w:rsidTr="00526B23">
        <w:trPr>
          <w:trHeight w:val="2025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Spinabifida (неповне закриття хребетного каналу) з вираженими і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ізко вираженими руховими і тазовими порушеннями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Q05-Q09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Постійно, але в разі неможливості створення особливих (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іальних) умов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Хвороби ока та придаткового апарату</w:t>
            </w:r>
          </w:p>
        </w:tc>
      </w:tr>
      <w:tr w:rsidR="00526B23" w:rsidRPr="00526B23" w:rsidTr="00526B23">
        <w:trPr>
          <w:trHeight w:val="1395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Сліпота обох очей (коригована гострота зору нижче 0,1 або концентричне звуження полі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зору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 град. від точки фіксації)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H54.0-H54.7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Запальні захворювання рогівки, склери, судинної оболонки, сітківки, зорового нерва, які мають прогресуючий або рецидивуючий перебіг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H16.0-H16.9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H15.0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H15.1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H15.8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H15.9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H20.0-H20.2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H20.8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H46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H48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спеціального лікування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 та двостороння афакія або артифакія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H27.0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Z96.1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трьох місяців після хірургічного втручання (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період визначається індивідуально (залежно від результату лікування) та зазначається разом із діагнозом у висновку лікарсько-консультативної комісії)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Глаукома з декомпенсацією внутрішньоочного тиску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хірургічного лікування на одному або на обох очах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H40.0-H40.6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H40.8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H40.9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H42.0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H42.8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трьох місяців після операції (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період визначається індивідуально (залежно від результату лікування) та зазначається разом із діагнозом у висновку лікарсько-консультативної комісії)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Ускладнена дегенеративна мі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 незалежно від ступеня (при хронічній периферичній дистрофії сітківки з наявністю передрозриву чи розриву)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H44.2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хірургічного втручання на рогівці, скловидному тілі, сітківці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H59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H59.0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H59.8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H59.9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трьох місяців після операції (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період визначається індивідуально (залежно від результату лікування) та зазначається разом із діагнозом у висновку лікарсько-консультативної комісії)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Проникаючі поранення і контузії органу зору середнього і важкого ступенів тяжкості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S05.0-S05.9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трьох місяців після травми (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період визначається індивідуально (залежно від результату лікування) та зазначається разом із діагнозом у висновку лікарсько-консультативної комісії)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Двобічна глухота з вестибулярними розладами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Н90-Н91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Хвороби системи кровообігу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Гостра ревматична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лихоманка</w:t>
            </w:r>
            <w:proofErr w:type="gramEnd"/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I00-I02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хвороби та протягом одного року після останньої атаки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Хронічні ревматичні захворювання серця з явищами хронічної серцево-судинної недостатності IІ, ІІІ ступенів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I05-I06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спеціального лікування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Неревматичні ураження клапанного апарату серця і м'яза (міокардити, ендокардити та перикардити), серця з явищами хронічної серцево-судинної недостатності IІ, ІІІ ступені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I30-I52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І90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спеціального лікування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Кардіоміопатії (дилатаційна, гіпертрофічна, рестриктивна)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I42-I43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спеціального лікування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Вроджені аномалії системи кровообігу з явищами хронічної серцево-судинної недостатності ІІ, ІІІ ступенів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Q20-Q28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спеціального лікування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хірургічних втручань на серці з явищами хронічної серцево-судинної недостатності IІ, ІІІ ступенів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Q20-Q28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05-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09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30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I33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I38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39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I42-I43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50-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52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Z54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шести місяців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операції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Хвороби органів дихання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Бронхіальна астма неконтрольована або частково контрольована (важкий перебіг)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J45.8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J46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загострення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Операції з приводу вад розвитку легенів (кі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лобарної емфіземи, гіпоплазії, секвестрації) і бронхоектатичної хвороби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Q32-Q34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шести місяців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операції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Операції на органах середостіння (трахеї, стравоході, при доброякісних пухлинах і кістах)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Q34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D00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D13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K22.2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T28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шести місяців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операції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Операції з приводу діафрагмальної грижі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K44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шести місяців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операції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Хвороби органів травлення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Неспецифічний виразковий колі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K51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загострення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Хвороба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Крона (середньоважка та важка форми)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K50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загострення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короткої кишки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K91.4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Операції на товстій кишці і аноректальній ділянці, ускладнені нетриманням калу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Q42-Q43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одного року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операції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Хронічний гепатит з високим або помірним ступенем активності та (або)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фіброзом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загострення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11.6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Фіброз печінки та (або) цироз печінки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K74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K76.6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I85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загострення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Печінкова недостатність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K72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стаціонарного лікування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Хвороби шкіри та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ідшкірної клітковини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Псоріаз, атопічний дерматит/екзема,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токсична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еритема у стадії загострення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L20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L40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L53.0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загострення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Аутоімунні хвороби з рецидивуючим та хронічним перебігом (пемфігус, дерматит Дюрінга, бульозний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ідермоліз - проста форма, псоріаз артропатичний, субкорнеальний пустульоз Снеддона - Вількінсона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L10.0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L13.0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L13.1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L40.5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Q 81.0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загострення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Бульозний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ідермоліз - дистрофічна форма, склеродермія із проявами склеродактилії, спадковий кератоз долонно-підошовний, пігментна ксеродерма, псоріаз артропатичний зі стійкими руховими порушеннями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Q81.2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L 94.3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Q82.1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Q82.8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M07.0-M07.3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M09.0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спеціального лікування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Хвороби кістково-м’язової системи та сполучної тканини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Ревматоїдний артрит, юнацький (ювенільний) артрит та інші запальні артропатії з порушенням функції суглоба і частими загостреннями (два рази на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 і більше)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M00-M25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неможливості створення особливих (спеціальних) умов або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загострення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Системні хвороби сполучної тканини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M30-M36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загострення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Деформації хребта та (або) грудної клітки III, IV ступенів із значними порушеннями функції органів грудної клітки (не оперовані)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M41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Q67.5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Q67.6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Q67.7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Постійно, але у разі неможливості створення особливих (спеціальних) умов)</w:t>
            </w:r>
            <w:proofErr w:type="gramEnd"/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операції щодо деформації хребта та (або) грудної клітки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M41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Q67.5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Q67.6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Q67.7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шести місяців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операції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Хвороби сечостатевої системи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Гломерулярні хронічні захворювання нирок, швидко прогресуючий нефритичний синдром, хронічний нефротичний синдром, спадкова нефропатія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N00-04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Q82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R80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трьох місяців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останнього загострення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Хронічний тубулоінтерстиціальний нефрит у стадії зворотного розвитку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N16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трьох місяців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останнього загострення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Хронічна та неуточнена ниркова недостатність зі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ійким порушенням функції нирок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N18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спеціального лікування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Гострі захворювання нирок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N17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 час перебування в стаціонарі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 протягом шести місяців після виписки зі стаціонару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14.5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Оперовані ускладнені вади розвитку нирок і сечовивідних шляхів з порушенням уродинаміки та функції нирок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Q60-Q64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Q62,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Q62.0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Q62.3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Q62.7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перебування в стаціонарі та протягом трьох місяців після виписки зі стаціонару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Переломи кісток верхніх кінцівок (при переломах кісток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ідної руки)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S40-S49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S50-S59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S60-S69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іммобілізації та одного місяця з дня зняття іммобілізації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Переломи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істок нижніх кінцівок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S70-S79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S80-S89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S90-S99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іммобілізації та восьми тижнів із дня зняття іммобілізації, але в разі неможливості створення особливих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іальних умов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Переломи черепа, лицевих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істок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S02.0-S02.9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перебування в стаціонарі та протягом трьох місяців після виписки зі стаціонару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Черепно-мозкові травми, травматичні ушкодження спинного мозку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S06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S14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S22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S24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S32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S34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двох місяців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отримання травми</w:t>
            </w:r>
          </w:p>
        </w:tc>
      </w:tr>
      <w:tr w:rsidR="00526B23" w:rsidRPr="00526B23" w:rsidTr="00526B23">
        <w:trPr>
          <w:trHeight w:val="105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Наслідки отруєнь та інших впливів зовнішніх причин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T56.0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T56.1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T56.2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T56.3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двох місяців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отруєння або інших впливів зовнішніх причин</w:t>
            </w:r>
          </w:p>
        </w:tc>
      </w:tr>
      <w:tr w:rsidR="00526B23" w:rsidRPr="00526B23" w:rsidTr="00526B23">
        <w:trPr>
          <w:trHeight w:val="1350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Стан, пов'язаний з наявністю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штучного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отвору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Z93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використання штучного отвору</w:t>
            </w:r>
          </w:p>
        </w:tc>
      </w:tr>
      <w:tr w:rsidR="00526B23" w:rsidRPr="00526B23" w:rsidTr="00526B2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Захворювання, які не увійшли в цей перелік та призвели до виражених і 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ізко виражених обмежень життєдіяльності (функціональні класи 2 - 4)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 визначається індивідуально та зазначається разом із діагнозом у висновку лікарсько-консультативної комі</w:t>
            </w:r>
            <w:proofErr w:type="gramStart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</w:t>
            </w:r>
          </w:p>
        </w:tc>
      </w:tr>
    </w:tbl>
    <w:p w:rsidR="00526B23" w:rsidRPr="00526B23" w:rsidRDefault="00526B23" w:rsidP="0052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53"/>
      <w:bookmarkEnd w:id="47"/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{Перелік із змінами, внесеними згідно з Наказом Міністерства освіти і науки </w:t>
      </w:r>
      <w:hyperlink r:id="rId30" w:anchor="n33" w:tgtFrame="_blank" w:history="1">
        <w:r w:rsidRPr="00526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194/331 від 14.02.2019</w:t>
        </w:r>
      </w:hyperlink>
      <w:r w:rsidRPr="00526B23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526B23" w:rsidRPr="00526B23" w:rsidTr="00526B23">
        <w:trPr>
          <w:tblCellSpacing w:w="0" w:type="dxa"/>
        </w:trPr>
        <w:tc>
          <w:tcPr>
            <w:tcW w:w="2100" w:type="pct"/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n38"/>
            <w:bookmarkEnd w:id="48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департаменту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вищої освіти Міністерства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освіти і науки України</w:t>
            </w:r>
          </w:p>
        </w:tc>
        <w:tc>
          <w:tcPr>
            <w:tcW w:w="3500" w:type="pct"/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О.І. Шаров</w:t>
            </w:r>
          </w:p>
        </w:tc>
      </w:tr>
      <w:tr w:rsidR="00526B23" w:rsidRPr="00526B23" w:rsidTr="00526B23">
        <w:trPr>
          <w:tblCellSpacing w:w="0" w:type="dxa"/>
        </w:trPr>
        <w:tc>
          <w:tcPr>
            <w:tcW w:w="2100" w:type="pct"/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n39"/>
            <w:bookmarkEnd w:id="49"/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В.о. директора Медичного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департаменту Міністерства </w:t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охорони здоров’я України</w:t>
            </w:r>
          </w:p>
        </w:tc>
        <w:tc>
          <w:tcPr>
            <w:tcW w:w="3500" w:type="pct"/>
            <w:hideMark/>
          </w:tcPr>
          <w:p w:rsidR="00526B23" w:rsidRPr="00526B23" w:rsidRDefault="00526B23" w:rsidP="00526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А.О. Гаврилюк</w:t>
            </w:r>
          </w:p>
        </w:tc>
      </w:tr>
    </w:tbl>
    <w:p w:rsidR="00526B23" w:rsidRDefault="001D40D3" w:rsidP="00526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B4320" w:rsidRDefault="00BB4320" w:rsidP="00526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4320" w:rsidRDefault="00BB4320" w:rsidP="00526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4320" w:rsidRPr="00BB4320" w:rsidRDefault="00BB4320" w:rsidP="00526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BB4320" w:rsidTr="00BB4320">
        <w:trPr>
          <w:tblCellSpacing w:w="0" w:type="dxa"/>
        </w:trPr>
        <w:tc>
          <w:tcPr>
            <w:tcW w:w="3000" w:type="pct"/>
            <w:hideMark/>
          </w:tcPr>
          <w:p w:rsidR="00BB4320" w:rsidRDefault="00BB4320">
            <w:pPr>
              <w:pStyle w:val="rvps14"/>
            </w:pPr>
          </w:p>
        </w:tc>
        <w:tc>
          <w:tcPr>
            <w:tcW w:w="2000" w:type="pct"/>
            <w:hideMark/>
          </w:tcPr>
          <w:p w:rsidR="00BB4320" w:rsidRDefault="00BB4320">
            <w:pPr>
              <w:pStyle w:val="rvps14"/>
            </w:pPr>
            <w:r>
              <w:rPr>
                <w:rStyle w:val="rvts9"/>
              </w:rPr>
              <w:t>ЗАТВЕРДЖЕНО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Наказ Міністерства освіти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і науки України,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Міністерства охорони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здоров’я України</w:t>
            </w:r>
            <w:r>
              <w:t xml:space="preserve"> </w:t>
            </w:r>
            <w:r>
              <w:br/>
            </w:r>
            <w:hyperlink r:id="rId31" w:anchor="n8" w:tgtFrame="_blank" w:history="1">
              <w:r>
                <w:rPr>
                  <w:rStyle w:val="a3"/>
                </w:rPr>
                <w:t>29.08.2016 № 1027/900</w:t>
              </w:r>
            </w:hyperlink>
          </w:p>
        </w:tc>
      </w:tr>
      <w:tr w:rsidR="00BB4320" w:rsidTr="00BB4320">
        <w:trPr>
          <w:tblCellSpacing w:w="0" w:type="dxa"/>
        </w:trPr>
        <w:tc>
          <w:tcPr>
            <w:tcW w:w="3000" w:type="pct"/>
            <w:hideMark/>
          </w:tcPr>
          <w:p w:rsidR="00BB4320" w:rsidRDefault="00BB4320">
            <w:pPr>
              <w:pStyle w:val="rvps14"/>
            </w:pPr>
          </w:p>
        </w:tc>
        <w:tc>
          <w:tcPr>
            <w:tcW w:w="2000" w:type="pct"/>
            <w:hideMark/>
          </w:tcPr>
          <w:p w:rsidR="00BB4320" w:rsidRDefault="00BB4320">
            <w:pPr>
              <w:pStyle w:val="rvps14"/>
            </w:pPr>
            <w:r>
              <w:rPr>
                <w:rStyle w:val="rvts9"/>
              </w:rPr>
              <w:t>Зареєстровано в Міністерстві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юстиції України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27 грудня 2016 р.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за № 1708/29838</w:t>
            </w:r>
          </w:p>
        </w:tc>
      </w:tr>
    </w:tbl>
    <w:p w:rsidR="00BB4320" w:rsidRDefault="00BB4320" w:rsidP="00BB4320">
      <w:pPr>
        <w:pStyle w:val="rvps18"/>
      </w:pPr>
      <w:r>
        <w:t xml:space="preserve">{Із змінами, внесеними згідно з Наказами Міністерства освіти і науки </w:t>
      </w:r>
      <w:r>
        <w:br/>
      </w:r>
      <w:hyperlink r:id="rId32" w:anchor="n2" w:tgtFrame="_blank" w:history="1">
        <w:r>
          <w:rPr>
            <w:rStyle w:val="a3"/>
          </w:rPr>
          <w:t>№ 23/40 від 10.01.2018</w:t>
        </w:r>
      </w:hyperlink>
      <w:r>
        <w:t xml:space="preserve"> </w:t>
      </w:r>
      <w:r>
        <w:br/>
      </w:r>
      <w:hyperlink r:id="rId33" w:anchor="n34" w:tgtFrame="_blank" w:history="1">
        <w:r>
          <w:rPr>
            <w:rStyle w:val="a3"/>
          </w:rPr>
          <w:t>№ 194/331 від 14.02.2019</w:t>
        </w:r>
      </w:hyperlink>
      <w:r>
        <w:t>}</w:t>
      </w:r>
    </w:p>
    <w:p w:rsidR="00BB4320" w:rsidRDefault="00BB4320" w:rsidP="00BB4320">
      <w:pPr>
        <w:pStyle w:val="rvps6"/>
      </w:pPr>
      <w:r>
        <w:rPr>
          <w:rStyle w:val="rvts23"/>
        </w:rPr>
        <w:t xml:space="preserve">ПЕРЕЛІК </w:t>
      </w:r>
      <w:r>
        <w:br/>
      </w:r>
      <w:r>
        <w:rPr>
          <w:rStyle w:val="rvts23"/>
        </w:rPr>
        <w:t xml:space="preserve">особливих (спеціальних) умов, що створюються для </w:t>
      </w:r>
      <w:proofErr w:type="gramStart"/>
      <w:r>
        <w:rPr>
          <w:rStyle w:val="rvts23"/>
        </w:rPr>
        <w:t>осіб</w:t>
      </w:r>
      <w:proofErr w:type="gramEnd"/>
      <w:r>
        <w:rPr>
          <w:rStyle w:val="rvts23"/>
        </w:rPr>
        <w:t xml:space="preserve"> з особливими освітніми потребами в пунктах проведення зовнішнього незалежного оцінювання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2773"/>
        <w:gridCol w:w="5268"/>
        <w:gridCol w:w="799"/>
      </w:tblGrid>
      <w:tr w:rsidR="00BB4320" w:rsidTr="00BB4320"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</w:pPr>
            <w:r>
              <w:t>№ з/</w:t>
            </w:r>
            <w:proofErr w:type="gramStart"/>
            <w:r>
              <w:t>п</w:t>
            </w:r>
            <w:proofErr w:type="gramEnd"/>
          </w:p>
        </w:tc>
        <w:tc>
          <w:tcPr>
            <w:tcW w:w="28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</w:pPr>
            <w:r>
              <w:t xml:space="preserve">Категорія </w:t>
            </w:r>
            <w:proofErr w:type="gramStart"/>
            <w:r>
              <w:t>осіб</w:t>
            </w:r>
            <w:proofErr w:type="gramEnd"/>
            <w:r>
              <w:t xml:space="preserve"> з особливими освітніми потребами</w:t>
            </w:r>
          </w:p>
        </w:tc>
        <w:tc>
          <w:tcPr>
            <w:tcW w:w="6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</w:pPr>
            <w:r>
              <w:t>Особливі (</w:t>
            </w:r>
            <w:proofErr w:type="gramStart"/>
            <w:r>
              <w:t>спец</w:t>
            </w:r>
            <w:proofErr w:type="gramEnd"/>
            <w:r>
              <w:t>іальні) умови, що створюються в пунктах проведення зовнішнього незалежного оцінювання</w:t>
            </w:r>
          </w:p>
        </w:tc>
      </w:tr>
      <w:tr w:rsidR="00BB4320" w:rsidTr="00BB432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320" w:rsidRDefault="00BB43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320" w:rsidRDefault="00BB4320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</w:pPr>
            <w:r>
              <w:t>опис умов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</w:pPr>
            <w:r>
              <w:t>код умов</w:t>
            </w:r>
          </w:p>
        </w:tc>
      </w:tr>
      <w:tr w:rsidR="00BB4320" w:rsidTr="00BB4320"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</w:pPr>
            <w:r>
              <w:t>1</w:t>
            </w:r>
          </w:p>
        </w:tc>
        <w:tc>
          <w:tcPr>
            <w:tcW w:w="28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4"/>
            </w:pPr>
            <w:proofErr w:type="gramStart"/>
            <w:r>
              <w:t>Глух</w:t>
            </w:r>
            <w:proofErr w:type="gramEnd"/>
            <w:r>
              <w:t>і та особи з порушеннями слуху</w:t>
            </w: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4"/>
            </w:pPr>
            <w:r>
              <w:t xml:space="preserve">Присутність перекладача жестової мови (перекладача-дактилолога)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аудитор</w:t>
            </w:r>
            <w:proofErr w:type="gramEnd"/>
            <w:r>
              <w:t>ії, де відбувається зовнішнє незалежне оцінювання; надання додаткового часу (до 30 хвилин) для виконання сертифікаційної роботи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</w:pPr>
            <w:r>
              <w:t>0101</w:t>
            </w:r>
          </w:p>
        </w:tc>
      </w:tr>
      <w:tr w:rsidR="00BB4320" w:rsidTr="00BB432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320" w:rsidRDefault="00BB43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320" w:rsidRDefault="00BB4320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4"/>
            </w:pPr>
            <w:r>
              <w:t xml:space="preserve">Виконання сертифікаційної роботи за одним із </w:t>
            </w:r>
            <w:proofErr w:type="gramStart"/>
            <w:r>
              <w:t>перших</w:t>
            </w:r>
            <w:proofErr w:type="gramEnd"/>
            <w:r>
              <w:t xml:space="preserve"> столів аудиторії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</w:pPr>
            <w:r>
              <w:t>0102</w:t>
            </w:r>
          </w:p>
        </w:tc>
      </w:tr>
      <w:tr w:rsidR="00BB4320" w:rsidTr="00BB432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320" w:rsidRDefault="00BB43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320" w:rsidRDefault="00BB4320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4"/>
            </w:pPr>
            <w:r>
              <w:t xml:space="preserve">Надання перед початком проведення зовнішнього незалежного оцінювання </w:t>
            </w:r>
            <w:proofErr w:type="gramStart"/>
            <w:r>
              <w:t>в</w:t>
            </w:r>
            <w:proofErr w:type="gramEnd"/>
            <w:r>
              <w:t xml:space="preserve"> аудиторії тексту промови інструктора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</w:pPr>
            <w:r>
              <w:t>0103</w:t>
            </w:r>
          </w:p>
        </w:tc>
      </w:tr>
      <w:tr w:rsidR="00BB4320" w:rsidTr="00BB4320">
        <w:trPr>
          <w:trHeight w:val="6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320" w:rsidRDefault="00BB43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320" w:rsidRDefault="00BB4320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4"/>
            </w:pPr>
            <w:r>
              <w:t>Надання можливості використання слухового апарата, імпланта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</w:pPr>
            <w:r>
              <w:t>0104</w:t>
            </w:r>
          </w:p>
        </w:tc>
      </w:tr>
      <w:tr w:rsidR="00BB4320" w:rsidTr="00BB4320">
        <w:trPr>
          <w:trHeight w:val="6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4"/>
            </w:pPr>
            <w:r>
              <w:t>Надання в письмовій (друкованій) формі озвучених текстів до завдань сертифікаційної роботи, що спрямовані на перевірку сформованості вмінь і навичок, необхідних для розуміння мови на слух (</w:t>
            </w:r>
            <w:proofErr w:type="gramStart"/>
            <w:r>
              <w:t>ауд</w:t>
            </w:r>
            <w:proofErr w:type="gramEnd"/>
            <w:r>
              <w:t>іювання)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</w:pPr>
            <w:r>
              <w:t>0105</w:t>
            </w:r>
          </w:p>
        </w:tc>
      </w:tr>
      <w:tr w:rsidR="00BB4320" w:rsidTr="00BB4320"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</w:pPr>
            <w:r>
              <w:t>2</w:t>
            </w:r>
          </w:p>
        </w:tc>
        <w:tc>
          <w:tcPr>
            <w:tcW w:w="28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4"/>
            </w:pPr>
            <w:r>
              <w:t>Особи з порушеннями зору</w:t>
            </w: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4"/>
            </w:pPr>
            <w:r>
              <w:t>Надання у паперовому вигляді тексту, написання якого передбачено на дошці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</w:pPr>
            <w:r>
              <w:t>0201</w:t>
            </w:r>
          </w:p>
        </w:tc>
      </w:tr>
      <w:tr w:rsidR="00BB4320" w:rsidTr="00BB432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320" w:rsidRDefault="00BB43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320" w:rsidRDefault="00BB4320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4"/>
            </w:pPr>
            <w:r>
              <w:t xml:space="preserve">Надання можливості використання оптичного збільшувача (лупи) або електронного збільшувача (електронні збільшувачі не мають бути складовими засобів зв’язку, пристроїв обробки, збереження та передавання інформації або комутуватися з </w:t>
            </w:r>
            <w:proofErr w:type="gramStart"/>
            <w:r>
              <w:t>такими</w:t>
            </w:r>
            <w:proofErr w:type="gramEnd"/>
            <w:r>
              <w:t xml:space="preserve"> засобами чи пристроями)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</w:pPr>
            <w:r>
              <w:t>0202</w:t>
            </w:r>
          </w:p>
        </w:tc>
      </w:tr>
      <w:tr w:rsidR="00BB4320" w:rsidTr="00BB432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320" w:rsidRDefault="00BB43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320" w:rsidRDefault="00BB4320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4"/>
            </w:pPr>
            <w:r>
              <w:t xml:space="preserve">Надання можливості використання настільного пристрою для додаткового освітлення робочого </w:t>
            </w:r>
            <w:r>
              <w:lastRenderedPageBreak/>
              <w:t xml:space="preserve">місця (пристрої мають працювати автономно, без </w:t>
            </w:r>
            <w:proofErr w:type="gramStart"/>
            <w:r>
              <w:t>п</w:t>
            </w:r>
            <w:proofErr w:type="gramEnd"/>
            <w:r>
              <w:t>ід’єднання до електромережі, а також не мають бути складовими засобів зв’язку, пристроїв обробки, збереження та передавання інформації)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</w:pPr>
            <w:r>
              <w:lastRenderedPageBreak/>
              <w:t>0203</w:t>
            </w:r>
          </w:p>
        </w:tc>
      </w:tr>
      <w:tr w:rsidR="00BB4320" w:rsidTr="00BB432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320" w:rsidRDefault="00BB43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320" w:rsidRDefault="00BB4320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4"/>
            </w:pPr>
            <w:r>
              <w:t xml:space="preserve">Текст зошитів із завданнями сертифікаційної роботи та бланків </w:t>
            </w:r>
            <w:proofErr w:type="gramStart"/>
            <w:r>
              <w:t>в</w:t>
            </w:r>
            <w:proofErr w:type="gramEnd"/>
            <w:r>
              <w:t xml:space="preserve">ідповідей має бути надрукований фарбою чорного кольору на білому папері з матовою поверхнею з дотриманням таких вимог до шрифтового оформлення: рублений шрифт, кегль шрифту - не менше 16, збільшення інтерліньяжу - не менше 4 пунктів, довжина рядка від 63 до 153 мм, місткість шрифту - не більше 7,7 (8,5 - для текстів на латинській графічній основі), нормальне або широке </w:t>
            </w:r>
            <w:proofErr w:type="gramStart"/>
            <w:r>
              <w:t>св</w:t>
            </w:r>
            <w:proofErr w:type="gramEnd"/>
            <w:r>
              <w:t>ітле пряме накреслення вічка*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</w:pPr>
            <w:r>
              <w:t>0204</w:t>
            </w:r>
          </w:p>
        </w:tc>
      </w:tr>
      <w:tr w:rsidR="00BB4320" w:rsidTr="00BB432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320" w:rsidRDefault="00BB43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320" w:rsidRDefault="00BB4320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4"/>
            </w:pPr>
            <w:proofErr w:type="gramStart"/>
            <w:r>
              <w:t>Надання сертифікаційної роботи із завданнями, адаптованими для осіб із глибокими порушеннями зору, надрукованої рельєфно-крапковим шрифтом для написання і читання сліпими (шрифт Брайля); додатковий час для виконання сертифікаційної роботи входить до загального часу, відведеного для виконання сертифікаційної роботи (умова за кодом 0206 додатково не створюється);</w:t>
            </w:r>
            <w:proofErr w:type="gramEnd"/>
            <w:r>
              <w:t xml:space="preserve"> розумне пристосування процедур проведення зовнішнього незалежного оцінювання та визначення результатів зовнішнього незалежного оцінювання для </w:t>
            </w:r>
            <w:proofErr w:type="gramStart"/>
            <w:r>
              <w:t>осіб</w:t>
            </w:r>
            <w:proofErr w:type="gramEnd"/>
            <w:r>
              <w:t xml:space="preserve"> із глибокими порушеннями зору**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</w:pPr>
            <w:r>
              <w:t>0205</w:t>
            </w:r>
          </w:p>
        </w:tc>
      </w:tr>
      <w:tr w:rsidR="00BB4320" w:rsidTr="00BB432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320" w:rsidRDefault="00BB43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320" w:rsidRDefault="00BB4320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4"/>
            </w:pPr>
            <w:r>
              <w:t>Надання додаткового часу (до 30 хвилин) для виконання сертифікаційної роботи***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</w:pPr>
            <w:r>
              <w:t>0206</w:t>
            </w:r>
          </w:p>
        </w:tc>
      </w:tr>
      <w:tr w:rsidR="00BB4320" w:rsidTr="00BB4320"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</w:pPr>
            <w:r>
              <w:t>3</w:t>
            </w:r>
          </w:p>
        </w:tc>
        <w:tc>
          <w:tcPr>
            <w:tcW w:w="28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4"/>
            </w:pPr>
            <w:r>
              <w:t xml:space="preserve">Особи з порушеннями опорно-рухового апарату, особи, які одужують </w:t>
            </w:r>
            <w:proofErr w:type="gramStart"/>
            <w:r>
              <w:t>п</w:t>
            </w:r>
            <w:proofErr w:type="gramEnd"/>
            <w:r>
              <w:t>ісля травм, особи із хворобами нервової системи</w:t>
            </w: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4"/>
            </w:pPr>
            <w:r>
              <w:t xml:space="preserve">Виконання сертифікаційної роботи </w:t>
            </w:r>
            <w:proofErr w:type="gramStart"/>
            <w:r>
              <w:t>в</w:t>
            </w:r>
            <w:proofErr w:type="gramEnd"/>
            <w:r>
              <w:t xml:space="preserve"> аудиторії, що розташована на першому поверсі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</w:pPr>
            <w:r>
              <w:t>0301</w:t>
            </w:r>
          </w:p>
        </w:tc>
      </w:tr>
      <w:tr w:rsidR="00BB4320" w:rsidTr="00BB432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320" w:rsidRDefault="00BB43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320" w:rsidRDefault="00BB4320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4"/>
            </w:pPr>
            <w:r>
              <w:t xml:space="preserve">Наявність у будівлі, де розміщується пункт проведення зовнішнього незалежного оцінювання, зовнішніх сходів і пандусів, обладнаних поручнями з урахуванням технічних вимог до опорних стаціонарних пристроїв </w:t>
            </w:r>
            <w:proofErr w:type="gramStart"/>
            <w:r>
              <w:t>в</w:t>
            </w:r>
            <w:proofErr w:type="gramEnd"/>
            <w:r>
              <w:t>ідповідно до ДБН В.2.2-17:2006 «Доступність будинків і споруд для маломобільних груп населення»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</w:pPr>
            <w:r>
              <w:t>0302</w:t>
            </w:r>
          </w:p>
        </w:tc>
      </w:tr>
      <w:tr w:rsidR="00BB4320" w:rsidTr="00BB432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320" w:rsidRDefault="00BB43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320" w:rsidRDefault="00BB4320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4"/>
            </w:pPr>
            <w:r>
              <w:t xml:space="preserve">Наявність у пункті проведення зовнішнього незалежного оцінювання туалету, обладнаного універсальною кабіною, доступною для осіб, які пересуваються на </w:t>
            </w:r>
            <w:proofErr w:type="gramStart"/>
            <w:r>
              <w:t>кр</w:t>
            </w:r>
            <w:proofErr w:type="gramEnd"/>
            <w:r>
              <w:t>іслах колісних, відповідно до ДБН В.2.2-17:2006 «Доступність будинків і споруд для маломобільних груп населення»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</w:pPr>
            <w:r>
              <w:t>0303</w:t>
            </w:r>
          </w:p>
        </w:tc>
      </w:tr>
      <w:tr w:rsidR="00BB4320" w:rsidTr="00BB432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320" w:rsidRDefault="00BB43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320" w:rsidRDefault="00BB4320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4"/>
            </w:pPr>
            <w:r>
              <w:t xml:space="preserve">Надання можливості супроводжуючим особам допомогти учаснику зовнішнього незалежного оцінювання зайняти робоче місце </w:t>
            </w:r>
            <w:proofErr w:type="gramStart"/>
            <w:r>
              <w:t>в</w:t>
            </w:r>
            <w:proofErr w:type="gramEnd"/>
            <w:r>
              <w:t xml:space="preserve"> аудиторії зовнішнього незалежного оцінювання та вийти з пункту тестування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</w:pPr>
            <w:r>
              <w:t>0304</w:t>
            </w:r>
          </w:p>
        </w:tc>
      </w:tr>
      <w:tr w:rsidR="00BB4320" w:rsidTr="00BB4320">
        <w:trPr>
          <w:trHeight w:val="99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320" w:rsidRDefault="00BB43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320" w:rsidRDefault="00BB4320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4"/>
            </w:pPr>
            <w:r>
              <w:t>Виконання сертифікаційної роботи за столом, придатним для письма на інвалідному візку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</w:pPr>
            <w:r>
              <w:t>0305</w:t>
            </w:r>
          </w:p>
        </w:tc>
      </w:tr>
      <w:tr w:rsidR="00BB4320" w:rsidTr="00BB4320">
        <w:trPr>
          <w:trHeight w:val="18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320" w:rsidRDefault="00BB43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320" w:rsidRDefault="00BB4320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4"/>
              <w:spacing w:line="180" w:lineRule="atLeast"/>
            </w:pPr>
            <w:r>
              <w:t>Надання додаткового часу (до 30 хвилин) для виконання сертифікаційної роботи***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  <w:spacing w:line="180" w:lineRule="atLeast"/>
            </w:pPr>
            <w:r>
              <w:t>0306</w:t>
            </w:r>
          </w:p>
        </w:tc>
      </w:tr>
      <w:tr w:rsidR="00BB4320" w:rsidTr="00BB4320">
        <w:trPr>
          <w:trHeight w:val="180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  <w:spacing w:line="180" w:lineRule="atLeast"/>
            </w:pPr>
            <w:r>
              <w:t>4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4"/>
              <w:spacing w:line="180" w:lineRule="atLeast"/>
            </w:pPr>
            <w:r>
              <w:t xml:space="preserve">Особи з розладами </w:t>
            </w:r>
            <w:proofErr w:type="gramStart"/>
            <w:r>
              <w:t>псих</w:t>
            </w:r>
            <w:proofErr w:type="gramEnd"/>
            <w:r>
              <w:t>іки та поведінки</w:t>
            </w: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4"/>
              <w:spacing w:line="180" w:lineRule="atLeast"/>
            </w:pPr>
            <w:r>
              <w:t>Надання додаткового часу (до 30 хвилин) для виконання сертифікаційної роботи***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  <w:spacing w:line="180" w:lineRule="atLeast"/>
            </w:pPr>
            <w:r>
              <w:t>0401</w:t>
            </w:r>
          </w:p>
        </w:tc>
      </w:tr>
      <w:tr w:rsidR="00BB4320" w:rsidTr="00BB4320">
        <w:trPr>
          <w:trHeight w:val="2205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</w:pPr>
            <w:r>
              <w:t>5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4"/>
            </w:pPr>
            <w:r>
              <w:t>Особи, яким встановлено електрокарді</w:t>
            </w:r>
            <w:proofErr w:type="gramStart"/>
            <w:r>
              <w:t>о-стимулятор</w:t>
            </w:r>
            <w:proofErr w:type="gramEnd"/>
            <w:r>
              <w:t xml:space="preserve"> або інший електронний імплантат чи пристрій</w:t>
            </w: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4"/>
            </w:pPr>
            <w:r>
              <w:t xml:space="preserve">Відмова від здійснення за допомогою металодетектора або іншого електронного пристрою контролю за дотриманням </w:t>
            </w:r>
            <w:proofErr w:type="gramStart"/>
            <w:r>
              <w:t>особою</w:t>
            </w:r>
            <w:proofErr w:type="gramEnd"/>
            <w:r>
              <w:t xml:space="preserve"> вимоги щодо заборони мати при собі засоби зв’язку, пристрої зчитування, обробки, збереження та відтворення інформації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</w:pPr>
            <w:r>
              <w:t>0501</w:t>
            </w:r>
          </w:p>
        </w:tc>
      </w:tr>
      <w:tr w:rsidR="00BB4320" w:rsidTr="00BB4320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</w:pPr>
            <w:r>
              <w:t>6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4"/>
            </w:pPr>
            <w:r>
              <w:t xml:space="preserve">Особи, які потребують періодичного здійснення індивідуальних медичних процедур із забезпечення життєдіяльності людини та/або </w:t>
            </w:r>
            <w:proofErr w:type="gramStart"/>
            <w:r>
              <w:t>контролю за</w:t>
            </w:r>
            <w:proofErr w:type="gramEnd"/>
            <w:r>
              <w:t xml:space="preserve"> її станом</w:t>
            </w: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4"/>
            </w:pPr>
            <w:r>
              <w:t xml:space="preserve">Наявність кімнати для медичного працівника,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як</w:t>
            </w:r>
            <w:proofErr w:type="gramEnd"/>
            <w:r>
              <w:t>ій можливо здійснювати індивідуальні медичні процедури та контроль за станом особи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</w:pPr>
            <w:r>
              <w:t>0601</w:t>
            </w:r>
          </w:p>
        </w:tc>
      </w:tr>
      <w:tr w:rsidR="00BB4320" w:rsidTr="00BB4320"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</w:pPr>
            <w:r>
              <w:t>7</w:t>
            </w:r>
          </w:p>
        </w:tc>
        <w:tc>
          <w:tcPr>
            <w:tcW w:w="28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4"/>
            </w:pPr>
            <w:r>
              <w:t>Особи, які мають захворювання, що потребують постійного медичного нагляду</w:t>
            </w: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4"/>
            </w:pPr>
            <w:r>
              <w:t xml:space="preserve">Забезпечення медичним працівником періодичного </w:t>
            </w:r>
            <w:proofErr w:type="gramStart"/>
            <w:r>
              <w:t>контролю за</w:t>
            </w:r>
            <w:proofErr w:type="gramEnd"/>
            <w:r>
              <w:t xml:space="preserve"> станом здоров’я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</w:pPr>
            <w:r>
              <w:t>0701</w:t>
            </w:r>
          </w:p>
        </w:tc>
      </w:tr>
      <w:tr w:rsidR="00BB4320" w:rsidTr="00BB432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320" w:rsidRDefault="00BB43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320" w:rsidRDefault="00BB4320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4"/>
            </w:pPr>
            <w:r>
              <w:t xml:space="preserve">Надання можливості присутності лікаря-спеціаліста (відповідно до діагнозу) </w:t>
            </w:r>
            <w:proofErr w:type="gramStart"/>
            <w:r>
              <w:t>в</w:t>
            </w:r>
            <w:proofErr w:type="gramEnd"/>
            <w:r>
              <w:t xml:space="preserve"> аудиторії, де відбувається зовнішнє незалежне оцінювання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320" w:rsidRDefault="00BB4320">
            <w:pPr>
              <w:pStyle w:val="rvps12"/>
            </w:pPr>
            <w:r>
              <w:t>0702</w:t>
            </w:r>
          </w:p>
        </w:tc>
      </w:tr>
    </w:tbl>
    <w:p w:rsidR="00BB4320" w:rsidRDefault="00BB4320" w:rsidP="00BB4320">
      <w:pPr>
        <w:pStyle w:val="rvps14"/>
      </w:pPr>
      <w:r>
        <w:rPr>
          <w:rStyle w:val="rvts82"/>
        </w:rPr>
        <w:t xml:space="preserve">__________ </w:t>
      </w:r>
      <w:r>
        <w:br/>
      </w:r>
      <w:r>
        <w:rPr>
          <w:rStyle w:val="rvts82"/>
        </w:rPr>
        <w:t xml:space="preserve">* Ця особлива (спеціальна) умова створюється </w:t>
      </w:r>
      <w:proofErr w:type="gramStart"/>
      <w:r>
        <w:rPr>
          <w:rStyle w:val="rvts82"/>
        </w:rPr>
        <w:t>п</w:t>
      </w:r>
      <w:proofErr w:type="gramEnd"/>
      <w:r>
        <w:rPr>
          <w:rStyle w:val="rvts82"/>
        </w:rPr>
        <w:t>ід час проведення додаткової сесії зовнішнього незалежного оцінювання.</w:t>
      </w:r>
      <w:r>
        <w:t xml:space="preserve"> </w:t>
      </w:r>
      <w:r>
        <w:br/>
      </w:r>
      <w:r>
        <w:rPr>
          <w:rStyle w:val="rvts82"/>
        </w:rPr>
        <w:t xml:space="preserve">** Ця особлива (спеціальна) умова створюється для осіб із порушеннями зору, які використовували в процесі навчання шрифт Брайля, </w:t>
      </w:r>
      <w:proofErr w:type="gramStart"/>
      <w:r>
        <w:rPr>
          <w:rStyle w:val="rvts82"/>
        </w:rPr>
        <w:t>п</w:t>
      </w:r>
      <w:proofErr w:type="gramEnd"/>
      <w:r>
        <w:rPr>
          <w:rStyle w:val="rvts82"/>
        </w:rPr>
        <w:t>ід час проведення додаткової сесії зовнішнього незалежного оцінювання з української мови і літератури, математики, історії України, біології.</w:t>
      </w:r>
      <w:r>
        <w:t xml:space="preserve"> </w:t>
      </w:r>
      <w:r>
        <w:br/>
      </w:r>
      <w:r>
        <w:rPr>
          <w:rStyle w:val="rvts82"/>
        </w:rPr>
        <w:t xml:space="preserve">*** Висновок щодо створення цієї особливої (спеціальної) умови може надаватися лише особам з інвалідністю. </w:t>
      </w:r>
    </w:p>
    <w:p w:rsidR="00BB4320" w:rsidRDefault="00BB4320" w:rsidP="00BB4320">
      <w:pPr>
        <w:pStyle w:val="rvps2"/>
      </w:pPr>
      <w:r>
        <w:rPr>
          <w:rStyle w:val="rvts46"/>
        </w:rPr>
        <w:t xml:space="preserve">{Перелік із змінами, внесеними згідно з Наказами Міністерства освіти і науки </w:t>
      </w:r>
      <w:hyperlink r:id="rId34" w:anchor="n6" w:tgtFrame="_blank" w:history="1">
        <w:r>
          <w:rPr>
            <w:rStyle w:val="a3"/>
          </w:rPr>
          <w:t>№ 23/40 від 10.01.2018</w:t>
        </w:r>
      </w:hyperlink>
      <w:r>
        <w:rPr>
          <w:rStyle w:val="rvts46"/>
        </w:rPr>
        <w:t xml:space="preserve">, </w:t>
      </w:r>
      <w:hyperlink r:id="rId35" w:anchor="n34" w:tgtFrame="_blank" w:history="1">
        <w:r>
          <w:rPr>
            <w:rStyle w:val="a3"/>
          </w:rPr>
          <w:t>№ 194/331 від 14.02.2019</w:t>
        </w:r>
      </w:hyperlink>
      <w:r>
        <w:rPr>
          <w:rStyle w:val="rvts46"/>
        </w:rPr>
        <w:t>}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BB4320" w:rsidTr="00BB4320">
        <w:trPr>
          <w:tblCellSpacing w:w="0" w:type="dxa"/>
        </w:trPr>
        <w:tc>
          <w:tcPr>
            <w:tcW w:w="2100" w:type="pct"/>
            <w:hideMark/>
          </w:tcPr>
          <w:p w:rsidR="00BB4320" w:rsidRDefault="00BB4320">
            <w:pPr>
              <w:pStyle w:val="rvps4"/>
            </w:pPr>
            <w:r>
              <w:rPr>
                <w:rStyle w:val="rvts44"/>
              </w:rPr>
              <w:t>Директор департаменту</w:t>
            </w:r>
            <w:r>
              <w:t xml:space="preserve"> </w:t>
            </w:r>
            <w:r>
              <w:br/>
            </w:r>
            <w:r>
              <w:rPr>
                <w:rStyle w:val="rvts44"/>
              </w:rPr>
              <w:t>вищої освіти Міністерства</w:t>
            </w:r>
            <w:r>
              <w:t xml:space="preserve"> </w:t>
            </w:r>
            <w:r>
              <w:br/>
            </w:r>
            <w:r>
              <w:rPr>
                <w:rStyle w:val="rvts44"/>
              </w:rPr>
              <w:t>освіти і науки України</w:t>
            </w:r>
          </w:p>
        </w:tc>
        <w:tc>
          <w:tcPr>
            <w:tcW w:w="3500" w:type="pct"/>
            <w:hideMark/>
          </w:tcPr>
          <w:p w:rsidR="00BB4320" w:rsidRDefault="00BB4320">
            <w:pPr>
              <w:pStyle w:val="rvps15"/>
            </w:pPr>
            <w:r>
              <w:br/>
            </w:r>
            <w:r>
              <w:br/>
            </w:r>
            <w:r>
              <w:rPr>
                <w:rStyle w:val="rvts44"/>
              </w:rPr>
              <w:t>О.І. Шаров</w:t>
            </w:r>
          </w:p>
        </w:tc>
      </w:tr>
      <w:tr w:rsidR="00BB4320" w:rsidTr="00BB4320">
        <w:trPr>
          <w:tblCellSpacing w:w="0" w:type="dxa"/>
        </w:trPr>
        <w:tc>
          <w:tcPr>
            <w:tcW w:w="2100" w:type="pct"/>
            <w:hideMark/>
          </w:tcPr>
          <w:p w:rsidR="00BB4320" w:rsidRDefault="00BB4320">
            <w:pPr>
              <w:pStyle w:val="rvps4"/>
            </w:pPr>
            <w:r>
              <w:rPr>
                <w:rStyle w:val="rvts44"/>
              </w:rPr>
              <w:t>В.о. директора Медичного</w:t>
            </w:r>
            <w:r>
              <w:t xml:space="preserve"> </w:t>
            </w:r>
            <w:r>
              <w:br/>
            </w:r>
            <w:r>
              <w:rPr>
                <w:rStyle w:val="rvts44"/>
              </w:rPr>
              <w:t>департаменту Міністерства</w:t>
            </w:r>
            <w:r>
              <w:t xml:space="preserve"> </w:t>
            </w:r>
            <w:r>
              <w:br/>
            </w:r>
            <w:r>
              <w:rPr>
                <w:rStyle w:val="rvts44"/>
              </w:rPr>
              <w:t>охорони здоров’я України</w:t>
            </w:r>
          </w:p>
        </w:tc>
        <w:tc>
          <w:tcPr>
            <w:tcW w:w="3500" w:type="pct"/>
            <w:hideMark/>
          </w:tcPr>
          <w:p w:rsidR="00BB4320" w:rsidRDefault="00BB4320">
            <w:pPr>
              <w:pStyle w:val="rvps15"/>
            </w:pPr>
            <w:r>
              <w:br/>
            </w:r>
            <w:r>
              <w:br/>
            </w:r>
            <w:r>
              <w:rPr>
                <w:rStyle w:val="rvts44"/>
              </w:rPr>
              <w:t>А.О. Гаврилюк</w:t>
            </w:r>
          </w:p>
        </w:tc>
      </w:tr>
    </w:tbl>
    <w:p w:rsidR="00163DFE" w:rsidRDefault="00163DFE">
      <w:pPr>
        <w:rPr>
          <w:lang w:val="uk-UA"/>
        </w:rPr>
      </w:pPr>
    </w:p>
    <w:p w:rsidR="008F0D2D" w:rsidRDefault="008F0D2D">
      <w:pPr>
        <w:rPr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0"/>
        <w:gridCol w:w="1403"/>
        <w:gridCol w:w="3742"/>
      </w:tblGrid>
      <w:tr w:rsidR="008F0D2D" w:rsidTr="008F0D2D">
        <w:trPr>
          <w:tblCellSpacing w:w="0" w:type="dxa"/>
        </w:trPr>
        <w:tc>
          <w:tcPr>
            <w:tcW w:w="3000" w:type="pct"/>
            <w:gridSpan w:val="2"/>
            <w:hideMark/>
          </w:tcPr>
          <w:p w:rsidR="008F0D2D" w:rsidRDefault="008F0D2D">
            <w:pPr>
              <w:pStyle w:val="rvps14"/>
            </w:pPr>
          </w:p>
        </w:tc>
        <w:tc>
          <w:tcPr>
            <w:tcW w:w="2000" w:type="pct"/>
            <w:hideMark/>
          </w:tcPr>
          <w:p w:rsidR="008F0D2D" w:rsidRDefault="008F0D2D">
            <w:pPr>
              <w:pStyle w:val="rvps14"/>
            </w:pPr>
            <w:r>
              <w:rPr>
                <w:rStyle w:val="rvts9"/>
              </w:rPr>
              <w:t>ЗАТВЕРДЖЕНО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Наказ Міністерства освіти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і науки України,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Міністерства охорони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здоров’я України</w:t>
            </w:r>
            <w:r>
              <w:t xml:space="preserve"> </w:t>
            </w:r>
            <w:r>
              <w:br/>
            </w:r>
            <w:hyperlink r:id="rId36" w:anchor="n9" w:tgtFrame="_blank" w:history="1">
              <w:r>
                <w:rPr>
                  <w:rStyle w:val="a3"/>
                </w:rPr>
                <w:t>29.08.2016 № 1027/900</w:t>
              </w:r>
            </w:hyperlink>
          </w:p>
        </w:tc>
      </w:tr>
      <w:tr w:rsidR="008F0D2D" w:rsidTr="008F0D2D">
        <w:trPr>
          <w:tblCellSpacing w:w="0" w:type="dxa"/>
        </w:trPr>
        <w:tc>
          <w:tcPr>
            <w:tcW w:w="2250" w:type="pct"/>
            <w:hideMark/>
          </w:tcPr>
          <w:p w:rsidR="008F0D2D" w:rsidRDefault="008F0D2D">
            <w:pPr>
              <w:pStyle w:val="rvps14"/>
            </w:pPr>
          </w:p>
        </w:tc>
        <w:tc>
          <w:tcPr>
            <w:tcW w:w="2000" w:type="pct"/>
            <w:gridSpan w:val="2"/>
            <w:hideMark/>
          </w:tcPr>
          <w:p w:rsidR="008F0D2D" w:rsidRDefault="008F0D2D">
            <w:pPr>
              <w:pStyle w:val="rvps14"/>
            </w:pPr>
            <w:r>
              <w:t>Форма № 086-3/о</w:t>
            </w:r>
          </w:p>
        </w:tc>
      </w:tr>
    </w:tbl>
    <w:p w:rsidR="008F0D2D" w:rsidRDefault="008F0D2D" w:rsidP="008F0D2D">
      <w:pPr>
        <w:pStyle w:val="rvps7"/>
      </w:pPr>
      <w:hyperlink r:id="rId37" w:history="1">
        <w:r>
          <w:rPr>
            <w:rStyle w:val="a3"/>
          </w:rPr>
          <w:t>МЕДИЧНИЙ ВИСНОВОК</w:t>
        </w:r>
      </w:hyperlink>
      <w:r>
        <w:rPr>
          <w:rStyle w:val="rvts15"/>
        </w:rPr>
        <w:t xml:space="preserve"> </w:t>
      </w:r>
      <w:r>
        <w:br/>
      </w:r>
      <w:r>
        <w:rPr>
          <w:rStyle w:val="rvts15"/>
        </w:rPr>
        <w:t>про створення особливих (</w:t>
      </w:r>
      <w:proofErr w:type="gramStart"/>
      <w:r>
        <w:rPr>
          <w:rStyle w:val="rvts15"/>
        </w:rPr>
        <w:t>спец</w:t>
      </w:r>
      <w:proofErr w:type="gramEnd"/>
      <w:r>
        <w:rPr>
          <w:rStyle w:val="rvts15"/>
        </w:rPr>
        <w:t>іальних) умов для проходження зовнішнього незалежного оцінювання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8F0D2D" w:rsidTr="008F0D2D">
        <w:trPr>
          <w:tblCellSpacing w:w="0" w:type="dxa"/>
        </w:trPr>
        <w:tc>
          <w:tcPr>
            <w:tcW w:w="2100" w:type="pct"/>
            <w:hideMark/>
          </w:tcPr>
          <w:p w:rsidR="008F0D2D" w:rsidRDefault="008F0D2D">
            <w:pPr>
              <w:pStyle w:val="rvps4"/>
            </w:pPr>
            <w:r>
              <w:rPr>
                <w:rStyle w:val="rvts44"/>
              </w:rPr>
              <w:t>Директор департаменту</w:t>
            </w:r>
            <w:r>
              <w:t xml:space="preserve"> </w:t>
            </w:r>
            <w:r>
              <w:br/>
            </w:r>
            <w:r>
              <w:rPr>
                <w:rStyle w:val="rvts44"/>
              </w:rPr>
              <w:t>вищої освіти Міністерства</w:t>
            </w:r>
            <w:r>
              <w:t xml:space="preserve"> </w:t>
            </w:r>
            <w:r>
              <w:br/>
            </w:r>
            <w:r>
              <w:rPr>
                <w:rStyle w:val="rvts44"/>
              </w:rPr>
              <w:t>освіти і науки України</w:t>
            </w:r>
          </w:p>
        </w:tc>
        <w:tc>
          <w:tcPr>
            <w:tcW w:w="3500" w:type="pct"/>
            <w:hideMark/>
          </w:tcPr>
          <w:p w:rsidR="008F0D2D" w:rsidRDefault="008F0D2D">
            <w:pPr>
              <w:pStyle w:val="rvps15"/>
            </w:pPr>
            <w:r>
              <w:br/>
            </w:r>
            <w:r>
              <w:br/>
            </w:r>
            <w:r>
              <w:rPr>
                <w:rStyle w:val="rvts44"/>
              </w:rPr>
              <w:t>О.І. Шаров</w:t>
            </w:r>
          </w:p>
        </w:tc>
      </w:tr>
      <w:tr w:rsidR="008F0D2D" w:rsidTr="008F0D2D">
        <w:trPr>
          <w:tblCellSpacing w:w="0" w:type="dxa"/>
        </w:trPr>
        <w:tc>
          <w:tcPr>
            <w:tcW w:w="2100" w:type="pct"/>
            <w:hideMark/>
          </w:tcPr>
          <w:p w:rsidR="008F0D2D" w:rsidRDefault="008F0D2D">
            <w:pPr>
              <w:pStyle w:val="rvps4"/>
            </w:pPr>
            <w:r>
              <w:rPr>
                <w:rStyle w:val="rvts44"/>
              </w:rPr>
              <w:t>В.о. директора Медичного</w:t>
            </w:r>
            <w:r>
              <w:t xml:space="preserve"> </w:t>
            </w:r>
            <w:r>
              <w:br/>
            </w:r>
            <w:r>
              <w:rPr>
                <w:rStyle w:val="rvts44"/>
              </w:rPr>
              <w:t>департаменту Міністерства</w:t>
            </w:r>
            <w:r>
              <w:t xml:space="preserve"> </w:t>
            </w:r>
            <w:r>
              <w:br/>
            </w:r>
            <w:r>
              <w:rPr>
                <w:rStyle w:val="rvts44"/>
              </w:rPr>
              <w:t>охорони здоров’я України</w:t>
            </w:r>
          </w:p>
        </w:tc>
        <w:tc>
          <w:tcPr>
            <w:tcW w:w="3500" w:type="pct"/>
            <w:hideMark/>
          </w:tcPr>
          <w:p w:rsidR="008F0D2D" w:rsidRDefault="008F0D2D">
            <w:pPr>
              <w:pStyle w:val="rvps15"/>
            </w:pPr>
            <w:r>
              <w:br/>
            </w:r>
            <w:r>
              <w:br/>
            </w:r>
            <w:r>
              <w:rPr>
                <w:rStyle w:val="rvts44"/>
              </w:rPr>
              <w:t>А.О. Гаврилюк</w:t>
            </w:r>
          </w:p>
        </w:tc>
      </w:tr>
    </w:tbl>
    <w:p w:rsidR="008F0D2D" w:rsidRDefault="008F0D2D" w:rsidP="008F0D2D">
      <w:pPr>
        <w:rPr>
          <w:rStyle w:val="rvts0"/>
        </w:rPr>
      </w:pPr>
      <w:r>
        <w:rPr>
          <w:rStyle w:val="rvts0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8F0D2D" w:rsidTr="008F0D2D">
        <w:trPr>
          <w:tblCellSpacing w:w="0" w:type="dxa"/>
        </w:trPr>
        <w:tc>
          <w:tcPr>
            <w:tcW w:w="3000" w:type="pct"/>
            <w:hideMark/>
          </w:tcPr>
          <w:p w:rsidR="008F0D2D" w:rsidRDefault="008F0D2D">
            <w:pPr>
              <w:pStyle w:val="rvps14"/>
              <w:rPr>
                <w:lang w:val="uk-UA"/>
              </w:rPr>
            </w:pPr>
          </w:p>
          <w:p w:rsidR="001D40D3" w:rsidRDefault="001D40D3">
            <w:pPr>
              <w:pStyle w:val="rvps14"/>
              <w:rPr>
                <w:lang w:val="uk-UA"/>
              </w:rPr>
            </w:pPr>
          </w:p>
          <w:p w:rsidR="001D40D3" w:rsidRPr="001D40D3" w:rsidRDefault="001D40D3">
            <w:pPr>
              <w:pStyle w:val="rvps14"/>
              <w:rPr>
                <w:lang w:val="uk-UA"/>
              </w:rPr>
            </w:pPr>
            <w:bookmarkStart w:id="50" w:name="_GoBack"/>
            <w:bookmarkEnd w:id="50"/>
          </w:p>
        </w:tc>
        <w:tc>
          <w:tcPr>
            <w:tcW w:w="2000" w:type="pct"/>
            <w:hideMark/>
          </w:tcPr>
          <w:p w:rsidR="008F0D2D" w:rsidRDefault="008F0D2D">
            <w:pPr>
              <w:pStyle w:val="rvps14"/>
            </w:pPr>
            <w:r>
              <w:rPr>
                <w:rStyle w:val="rvts9"/>
              </w:rPr>
              <w:t>ЗАТВЕРДЖЕНО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Наказ Міністерства освіти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і науки України,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Міністерства охорони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здоров’я України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29.08.2016 № 1027/900</w:t>
            </w:r>
          </w:p>
        </w:tc>
      </w:tr>
      <w:tr w:rsidR="008F0D2D" w:rsidTr="008F0D2D">
        <w:trPr>
          <w:tblCellSpacing w:w="0" w:type="dxa"/>
        </w:trPr>
        <w:tc>
          <w:tcPr>
            <w:tcW w:w="3000" w:type="pct"/>
            <w:hideMark/>
          </w:tcPr>
          <w:p w:rsidR="008F0D2D" w:rsidRDefault="008F0D2D">
            <w:pPr>
              <w:pStyle w:val="rvps14"/>
            </w:pPr>
          </w:p>
        </w:tc>
        <w:tc>
          <w:tcPr>
            <w:tcW w:w="2000" w:type="pct"/>
            <w:hideMark/>
          </w:tcPr>
          <w:p w:rsidR="008F0D2D" w:rsidRDefault="008F0D2D">
            <w:pPr>
              <w:pStyle w:val="rvps14"/>
            </w:pPr>
            <w:r>
              <w:rPr>
                <w:rStyle w:val="rvts9"/>
              </w:rPr>
              <w:t>Зареєстровано в Міністерстві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юстиції України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27 грудня 2016 р.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за № 1709/29839</w:t>
            </w:r>
          </w:p>
        </w:tc>
      </w:tr>
    </w:tbl>
    <w:p w:rsidR="008F0D2D" w:rsidRDefault="008F0D2D" w:rsidP="008F0D2D">
      <w:pPr>
        <w:pStyle w:val="rvps6"/>
      </w:pPr>
      <w:r>
        <w:rPr>
          <w:rStyle w:val="rvts23"/>
        </w:rPr>
        <w:t xml:space="preserve">ІНСТРУКЦІЯ </w:t>
      </w:r>
      <w:r>
        <w:br/>
      </w:r>
      <w:r>
        <w:rPr>
          <w:rStyle w:val="rvts23"/>
        </w:rPr>
        <w:t xml:space="preserve">щодо заповнення форми первинної </w:t>
      </w:r>
      <w:proofErr w:type="gramStart"/>
      <w:r>
        <w:rPr>
          <w:rStyle w:val="rvts23"/>
        </w:rPr>
        <w:t>обл</w:t>
      </w:r>
      <w:proofErr w:type="gramEnd"/>
      <w:r>
        <w:rPr>
          <w:rStyle w:val="rvts23"/>
        </w:rPr>
        <w:t xml:space="preserve">ікової документації </w:t>
      </w:r>
      <w:hyperlink r:id="rId38" w:anchor="n4" w:history="1">
        <w:r>
          <w:rPr>
            <w:rStyle w:val="a3"/>
          </w:rPr>
          <w:t>№ 086-3/о</w:t>
        </w:r>
      </w:hyperlink>
      <w:r>
        <w:rPr>
          <w:rStyle w:val="rvts23"/>
        </w:rPr>
        <w:t xml:space="preserve"> «Медичний висновок про створення особливих (спеціальних) умов для проходження зовнішнього незалежного оцінювання»</w:t>
      </w:r>
    </w:p>
    <w:p w:rsidR="008F0D2D" w:rsidRDefault="008F0D2D" w:rsidP="008F0D2D">
      <w:pPr>
        <w:pStyle w:val="rvps2"/>
      </w:pPr>
      <w:r>
        <w:t xml:space="preserve">1. Ця Інструкція визначає порядок заповнення </w:t>
      </w:r>
      <w:hyperlink r:id="rId39" w:anchor="n4" w:history="1">
        <w:r>
          <w:rPr>
            <w:rStyle w:val="a3"/>
          </w:rPr>
          <w:t xml:space="preserve">форми первинної </w:t>
        </w:r>
        <w:proofErr w:type="gramStart"/>
        <w:r>
          <w:rPr>
            <w:rStyle w:val="a3"/>
          </w:rPr>
          <w:t>обл</w:t>
        </w:r>
        <w:proofErr w:type="gramEnd"/>
        <w:r>
          <w:rPr>
            <w:rStyle w:val="a3"/>
          </w:rPr>
          <w:t>ікової документації № 086-3/о «Медичний висновок про створення особливих (спеціальних) умов для проходження зовнішнього незалежного оцінювання»</w:t>
        </w:r>
      </w:hyperlink>
      <w:r>
        <w:t xml:space="preserve"> (далі - форма № 086-3/о).</w:t>
      </w:r>
    </w:p>
    <w:p w:rsidR="008F0D2D" w:rsidRDefault="008F0D2D" w:rsidP="008F0D2D">
      <w:pPr>
        <w:pStyle w:val="rvps2"/>
      </w:pPr>
      <w:r>
        <w:t xml:space="preserve">2. Форма № 086-3/о оформлюється згідно з </w:t>
      </w:r>
      <w:proofErr w:type="gramStart"/>
      <w:r>
        <w:t>р</w:t>
      </w:r>
      <w:proofErr w:type="gramEnd"/>
      <w:r>
        <w:t>ішенням лікарсько-консультативної комісії закладу охорони здоров'я (далі - ЛКК) або медичної комісії з питань створення особливих (спеціальних) умов для проходження зовнішнього незалежного оцінювання лікувально-профілактичного закладу (далі - медична комісія) щодо створення особі з особливими освітніми потребами, яка бажає взяти участь у зовнішньому незалежному оцінюванні, особливих (</w:t>
      </w:r>
      <w:proofErr w:type="gramStart"/>
      <w:r>
        <w:t>спец</w:t>
      </w:r>
      <w:proofErr w:type="gramEnd"/>
      <w:r>
        <w:t>іальних) умов для проходження зовнішнього незалежного оцінювання.</w:t>
      </w:r>
    </w:p>
    <w:p w:rsidR="008F0D2D" w:rsidRDefault="008F0D2D" w:rsidP="008F0D2D">
      <w:pPr>
        <w:pStyle w:val="rvps2"/>
      </w:pPr>
      <w:r>
        <w:t xml:space="preserve">3. Форма № 086-3/о заповнюється </w:t>
      </w:r>
      <w:proofErr w:type="gramStart"/>
      <w:r>
        <w:t>особою</w:t>
      </w:r>
      <w:proofErr w:type="gramEnd"/>
      <w:r>
        <w:t xml:space="preserve">, уповноваженою ЛЛК або медичною комісією. </w:t>
      </w:r>
    </w:p>
    <w:p w:rsidR="008F0D2D" w:rsidRDefault="008F0D2D" w:rsidP="008F0D2D">
      <w:pPr>
        <w:pStyle w:val="rvps2"/>
      </w:pPr>
      <w:r>
        <w:t xml:space="preserve">4. Форма № 086-3/о надається особі з особливими освітніми потребами, яка бажає взяти участь у зовнішньому незалежному оцінюванні, з метою створення в пунктах проведення </w:t>
      </w:r>
      <w:r>
        <w:lastRenderedPageBreak/>
        <w:t>зовнішнього незалежного оцінювання особливих (</w:t>
      </w:r>
      <w:proofErr w:type="gramStart"/>
      <w:r>
        <w:t>спец</w:t>
      </w:r>
      <w:proofErr w:type="gramEnd"/>
      <w:r>
        <w:t xml:space="preserve">іальних) умов для проходження зовнішнього незалежного оцінювання. </w:t>
      </w:r>
    </w:p>
    <w:p w:rsidR="008F0D2D" w:rsidRDefault="008F0D2D" w:rsidP="008F0D2D">
      <w:pPr>
        <w:pStyle w:val="rvps2"/>
      </w:pPr>
      <w:r>
        <w:t xml:space="preserve">5. У верхньому лівому куті зазначаються найменування міністерства, іншого органу виконавчої влади, </w:t>
      </w:r>
      <w:proofErr w:type="gramStart"/>
      <w:r>
        <w:t>п</w:t>
      </w:r>
      <w:proofErr w:type="gramEnd"/>
      <w:r>
        <w:t xml:space="preserve">ідприємства, установи, організації, до сфери управління якого (якої) належить заклад охорони здоров’я, найменування та місцезнаходження (повна поштова адреса) закладу охорони здоров’я, де заповнюється форма, та код за ЄДРПОУ. </w:t>
      </w:r>
    </w:p>
    <w:p w:rsidR="008F0D2D" w:rsidRDefault="008F0D2D" w:rsidP="008F0D2D">
      <w:pPr>
        <w:pStyle w:val="rvps2"/>
      </w:pPr>
      <w:r>
        <w:t xml:space="preserve">6. </w:t>
      </w:r>
      <w:proofErr w:type="gramStart"/>
      <w:r>
        <w:t>П</w:t>
      </w:r>
      <w:proofErr w:type="gramEnd"/>
      <w:r>
        <w:t>ід назвою форми зазначається дата (число, місяць, рік) її видачі.</w:t>
      </w:r>
    </w:p>
    <w:p w:rsidR="008F0D2D" w:rsidRDefault="008F0D2D" w:rsidP="008F0D2D">
      <w:pPr>
        <w:pStyle w:val="rvps2"/>
      </w:pPr>
      <w:r>
        <w:t xml:space="preserve">7. У пункті 1 зазначаються </w:t>
      </w:r>
      <w:proofErr w:type="gramStart"/>
      <w:r>
        <w:t>пр</w:t>
      </w:r>
      <w:proofErr w:type="gramEnd"/>
      <w:r>
        <w:t>ізвище, ім'я, по батькові особи.</w:t>
      </w:r>
    </w:p>
    <w:p w:rsidR="008F0D2D" w:rsidRDefault="008F0D2D" w:rsidP="008F0D2D">
      <w:pPr>
        <w:pStyle w:val="rvps2"/>
      </w:pPr>
      <w:r>
        <w:t xml:space="preserve">8. У пункті 2 вказується дата народження особи (число, місяць, </w:t>
      </w:r>
      <w:proofErr w:type="gramStart"/>
      <w:r>
        <w:t>р</w:t>
      </w:r>
      <w:proofErr w:type="gramEnd"/>
      <w:r>
        <w:t>ік).</w:t>
      </w:r>
    </w:p>
    <w:p w:rsidR="008F0D2D" w:rsidRDefault="008F0D2D" w:rsidP="008F0D2D">
      <w:pPr>
        <w:pStyle w:val="rvps2"/>
      </w:pPr>
      <w:r>
        <w:t xml:space="preserve">9. </w:t>
      </w:r>
      <w:proofErr w:type="gramStart"/>
      <w:r>
        <w:t>У</w:t>
      </w:r>
      <w:proofErr w:type="gramEnd"/>
      <w:r>
        <w:t xml:space="preserve"> </w:t>
      </w:r>
      <w:proofErr w:type="gramStart"/>
      <w:r>
        <w:t>пункт</w:t>
      </w:r>
      <w:proofErr w:type="gramEnd"/>
      <w:r>
        <w:t>і 3 зі слів особи зазначається місце її проживання (область, місто або район, населений пункт, вулиця, номери будинку та квартири).</w:t>
      </w:r>
    </w:p>
    <w:p w:rsidR="008F0D2D" w:rsidRDefault="008F0D2D" w:rsidP="008F0D2D">
      <w:pPr>
        <w:pStyle w:val="rvps2"/>
      </w:pPr>
      <w:r>
        <w:t>10. У пункті 4 вказується код захворювання або патологічний стан, як</w:t>
      </w:r>
      <w:proofErr w:type="gramStart"/>
      <w:r>
        <w:t>е(</w:t>
      </w:r>
      <w:proofErr w:type="gramEnd"/>
      <w:r>
        <w:t>ий) зумовило(в) необхідність створення особливих (спеціальних) умов для проходження зовнішнього незалежного оцінювання, згідно з Міжнародною статистичною класифікацією хвороб та споріднених проблем охорони здоров’я Десятого перегляду - МХК-10 (за згодою пацієнта).</w:t>
      </w:r>
    </w:p>
    <w:p w:rsidR="008F0D2D" w:rsidRDefault="008F0D2D" w:rsidP="008F0D2D">
      <w:pPr>
        <w:pStyle w:val="rvps2"/>
      </w:pPr>
      <w:r>
        <w:t xml:space="preserve">11. У пункті 5 зазначається категорія особи з особливими освітніми потребами (глухі та особи з порушеннями слуху, особи з порушеннями зору, особи з порушеннями опорно-рухового апарату, особи, які одужують </w:t>
      </w:r>
      <w:proofErr w:type="gramStart"/>
      <w:r>
        <w:t>п</w:t>
      </w:r>
      <w:proofErr w:type="gramEnd"/>
      <w:r>
        <w:t>ісля травм, особи із хворобами нервової системи, особи з розладами психіки та поведінки, особи, яким установлено електрокардіостимулятор або інший електронний імплантат чи пристрій, особи, які потребують періодичного здійснення індивідуальних медичних процедур із забезпечення життєдіяльності людини та/або контролю за їх станом, особи, які мають захворювання, що потребують постійного медичного нагляду, тощо).</w:t>
      </w:r>
    </w:p>
    <w:p w:rsidR="008F0D2D" w:rsidRDefault="008F0D2D" w:rsidP="008F0D2D">
      <w:pPr>
        <w:pStyle w:val="rvps2"/>
      </w:pPr>
      <w:r>
        <w:t>12. У пункті 6 вказуєтьс</w:t>
      </w:r>
      <w:proofErr w:type="gramStart"/>
      <w:r>
        <w:t>я(</w:t>
      </w:r>
      <w:proofErr w:type="gramEnd"/>
      <w:r>
        <w:t xml:space="preserve">ються) код(и) умов з </w:t>
      </w:r>
      <w:hyperlink r:id="rId40" w:anchor="n4" w:tgtFrame="_blank" w:history="1">
        <w:r>
          <w:rPr>
            <w:rStyle w:val="a3"/>
          </w:rPr>
          <w:t>Переліку особливих (спеціальних) умов, що створюються для осіб з особливими освітніми потребами в пунктах проведення зовнішнього незалежного оцінювання</w:t>
        </w:r>
      </w:hyperlink>
      <w:r>
        <w:t>, затвердженого наказом Міністерства освіти і науки України, Міністерства охорони здоров’я України від 29 серпня 2016 року</w:t>
      </w:r>
      <w:hyperlink r:id="rId41" w:tgtFrame="_blank" w:history="1">
        <w:r>
          <w:rPr>
            <w:rStyle w:val="a3"/>
          </w:rPr>
          <w:t xml:space="preserve"> № 1027/900</w:t>
        </w:r>
      </w:hyperlink>
      <w:r>
        <w:t xml:space="preserve"> (далі - Перелік), створення яких відповідно до </w:t>
      </w:r>
      <w:proofErr w:type="gramStart"/>
      <w:r>
        <w:t>р</w:t>
      </w:r>
      <w:proofErr w:type="gramEnd"/>
      <w:r>
        <w:t>ішення комісії потребує особа. Кожен код зазначається окремо, кожна його цифра відокремлюється від іншої рисочкою. У вільних місцях, відведених для зазначення кодів, проставляються прочерки. Якщо опис умов, які потрібно створити, відсутній в Переліку, прочерки проставляються в усіх місцях для зазначення коді</w:t>
      </w:r>
      <w:proofErr w:type="gramStart"/>
      <w:r>
        <w:t>в</w:t>
      </w:r>
      <w:proofErr w:type="gramEnd"/>
      <w:r>
        <w:t>.</w:t>
      </w:r>
    </w:p>
    <w:p w:rsidR="008F0D2D" w:rsidRDefault="008F0D2D" w:rsidP="008F0D2D">
      <w:pPr>
        <w:pStyle w:val="rvps2"/>
      </w:pPr>
      <w:r>
        <w:t xml:space="preserve">13. </w:t>
      </w:r>
      <w:proofErr w:type="gramStart"/>
      <w:r>
        <w:t>У</w:t>
      </w:r>
      <w:proofErr w:type="gramEnd"/>
      <w:r>
        <w:t xml:space="preserve"> разі необхідності в пункті 7 зазначаються умови, що не передбачені Переліком, але створення яких особа потребує для проходження зовнішнього незалежного оцінювання. Якщо хворий не потребує створення інших умов, не зазначених у </w:t>
      </w:r>
      <w:hyperlink r:id="rId42" w:anchor="n4" w:tgtFrame="_blank" w:history="1">
        <w:r>
          <w:rPr>
            <w:rStyle w:val="a3"/>
          </w:rPr>
          <w:t>Переліку</w:t>
        </w:r>
      </w:hyperlink>
      <w:r>
        <w:t xml:space="preserve">, </w:t>
      </w:r>
      <w:proofErr w:type="gramStart"/>
      <w:r>
        <w:t>проставляється</w:t>
      </w:r>
      <w:proofErr w:type="gramEnd"/>
      <w:r>
        <w:t xml:space="preserve"> прочерк.</w:t>
      </w:r>
    </w:p>
    <w:p w:rsidR="008F0D2D" w:rsidRDefault="008F0D2D" w:rsidP="008F0D2D">
      <w:pPr>
        <w:pStyle w:val="rvps2"/>
      </w:pPr>
      <w:r>
        <w:t xml:space="preserve">14. Форму № 086-3/о </w:t>
      </w:r>
      <w:proofErr w:type="gramStart"/>
      <w:r>
        <w:t>п</w:t>
      </w:r>
      <w:proofErr w:type="gramEnd"/>
      <w:r>
        <w:t xml:space="preserve">ідписують голова ЛКК (медичної комісії) та члени ЛКК (медичної комісії) закладу охорони здоров'я (ставляться підписи і вказуються прізвища, імена, по батькові). </w:t>
      </w:r>
    </w:p>
    <w:p w:rsidR="008F0D2D" w:rsidRDefault="008F0D2D" w:rsidP="008F0D2D">
      <w:pPr>
        <w:pStyle w:val="rvps2"/>
      </w:pPr>
      <w:r>
        <w:lastRenderedPageBreak/>
        <w:t>15. Форма № 086-3/о засвідчується печаткою закладу охорони здоров'я, на базі якого працює ЛКК (медична комісія), або печаткою ЛКК закладу охорони здоров'я (за наявності).</w:t>
      </w:r>
    </w:p>
    <w:p w:rsidR="008F0D2D" w:rsidRDefault="008F0D2D" w:rsidP="008F0D2D">
      <w:pPr>
        <w:pStyle w:val="rvps2"/>
      </w:pPr>
      <w:r>
        <w:t xml:space="preserve">16. </w:t>
      </w:r>
      <w:proofErr w:type="gramStart"/>
      <w:r>
        <w:t>П</w:t>
      </w:r>
      <w:proofErr w:type="gramEnd"/>
      <w:r>
        <w:t xml:space="preserve">ісля заповнення форми № 086-3/о аналогічні дані зазначаються в </w:t>
      </w:r>
      <w:hyperlink r:id="rId43" w:anchor="n4" w:history="1">
        <w:r>
          <w:rPr>
            <w:rStyle w:val="a3"/>
          </w:rPr>
          <w:t>контрольному талоні до форми № 086-3/о</w:t>
        </w:r>
      </w:hyperlink>
      <w:r>
        <w:t xml:space="preserve"> (далі - контрольний талон), що є невід’ємною частиною форми 086-3/о, який залишається у закладі охорони здоров’я (медичній комісії) для обліку виданих медичних висновків.</w:t>
      </w:r>
    </w:p>
    <w:p w:rsidR="008F0D2D" w:rsidRDefault="008F0D2D" w:rsidP="008F0D2D">
      <w:pPr>
        <w:pStyle w:val="rvps2"/>
      </w:pPr>
      <w:r>
        <w:t xml:space="preserve">17. </w:t>
      </w:r>
      <w:hyperlink r:id="rId44" w:anchor="n4" w:history="1">
        <w:r>
          <w:rPr>
            <w:rStyle w:val="a3"/>
          </w:rPr>
          <w:t>Контрольний талон</w:t>
        </w:r>
      </w:hyperlink>
      <w:r>
        <w:t xml:space="preserve"> </w:t>
      </w:r>
      <w:proofErr w:type="gramStart"/>
      <w:r>
        <w:t>п</w:t>
      </w:r>
      <w:proofErr w:type="gramEnd"/>
      <w:r>
        <w:t>ідписується головою ЛКК (медичної комісії) та членами ЛКК (медичної комісії) закладу охорони здоров'я (ставляться підписи і вказуються прізвища, імена, по батькові) та засвідчується печаткою закладу охорони здоров'я, на базі якого працює ЛКК (медична комісія), або печаткою ЛКК закладу охорони здоров'я (за наявності).</w:t>
      </w:r>
    </w:p>
    <w:p w:rsidR="008F0D2D" w:rsidRDefault="008F0D2D" w:rsidP="008F0D2D">
      <w:pPr>
        <w:pStyle w:val="rvps2"/>
      </w:pPr>
      <w:r>
        <w:t xml:space="preserve">18. Факт видачі форми № 086-3/о фіксується у </w:t>
      </w:r>
      <w:hyperlink r:id="rId45" w:anchor="n3" w:tgtFrame="_blank" w:history="1">
        <w:r>
          <w:rPr>
            <w:rStyle w:val="a3"/>
          </w:rPr>
          <w:t xml:space="preserve">формі первинної </w:t>
        </w:r>
        <w:proofErr w:type="gramStart"/>
        <w:r>
          <w:rPr>
            <w:rStyle w:val="a3"/>
          </w:rPr>
          <w:t>обл</w:t>
        </w:r>
        <w:proofErr w:type="gramEnd"/>
        <w:r>
          <w:rPr>
            <w:rStyle w:val="a3"/>
          </w:rPr>
          <w:t>ікової документації № 025/о «Медична карта амбулаторного хворого»</w:t>
        </w:r>
      </w:hyperlink>
      <w:r>
        <w:t xml:space="preserve">, затвердженій наказом Міністерства охорони здоров’я України від 14 лютого 2012 року </w:t>
      </w:r>
      <w:hyperlink r:id="rId46" w:tgtFrame="_blank" w:history="1">
        <w:r>
          <w:rPr>
            <w:rStyle w:val="a3"/>
          </w:rPr>
          <w:t>№ 110</w:t>
        </w:r>
      </w:hyperlink>
      <w:r>
        <w:t>, зареєстрованим у Міністерстві юстиції України 28 квітня 2012 року за № 661/20974.</w:t>
      </w:r>
    </w:p>
    <w:p w:rsidR="008F0D2D" w:rsidRDefault="008F0D2D" w:rsidP="008F0D2D">
      <w:pPr>
        <w:pStyle w:val="rvps2"/>
      </w:pPr>
      <w:r>
        <w:t xml:space="preserve">19. Строк зберігання контрольних талонів - один </w:t>
      </w:r>
      <w:proofErr w:type="gramStart"/>
      <w:r>
        <w:t>р</w:t>
      </w:r>
      <w:proofErr w:type="gramEnd"/>
      <w:r>
        <w:t>ік.</w:t>
      </w:r>
    </w:p>
    <w:p w:rsidR="008F0D2D" w:rsidRDefault="008F0D2D" w:rsidP="008F0D2D">
      <w:pPr>
        <w:pStyle w:val="rvps2"/>
      </w:pPr>
      <w:bookmarkStart w:id="51" w:name="n29"/>
      <w:bookmarkEnd w:id="51"/>
      <w:r>
        <w:t xml:space="preserve">20. Інформація, що міститься у формі 086-3/о, є інформацією з обмеженим доступом та не </w:t>
      </w:r>
      <w:proofErr w:type="gramStart"/>
      <w:r>
        <w:t>п</w:t>
      </w:r>
      <w:proofErr w:type="gramEnd"/>
      <w:r>
        <w:t>ідлягає розголошенню.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8F0D2D" w:rsidTr="008F0D2D">
        <w:trPr>
          <w:tblCellSpacing w:w="0" w:type="dxa"/>
        </w:trPr>
        <w:tc>
          <w:tcPr>
            <w:tcW w:w="2100" w:type="pct"/>
            <w:hideMark/>
          </w:tcPr>
          <w:p w:rsidR="008F0D2D" w:rsidRDefault="008F0D2D">
            <w:pPr>
              <w:pStyle w:val="rvps4"/>
            </w:pPr>
            <w:r>
              <w:rPr>
                <w:rStyle w:val="rvts44"/>
              </w:rPr>
              <w:t>Директор департаменту</w:t>
            </w:r>
            <w:r>
              <w:t xml:space="preserve"> </w:t>
            </w:r>
            <w:r>
              <w:br/>
            </w:r>
            <w:r>
              <w:rPr>
                <w:rStyle w:val="rvts44"/>
              </w:rPr>
              <w:t>вищої освіти Міністерства</w:t>
            </w:r>
            <w:r>
              <w:t xml:space="preserve"> </w:t>
            </w:r>
            <w:r>
              <w:br/>
            </w:r>
            <w:r>
              <w:rPr>
                <w:rStyle w:val="rvts44"/>
              </w:rPr>
              <w:t>освіти і науки України</w:t>
            </w:r>
          </w:p>
        </w:tc>
        <w:tc>
          <w:tcPr>
            <w:tcW w:w="3500" w:type="pct"/>
            <w:hideMark/>
          </w:tcPr>
          <w:p w:rsidR="008F0D2D" w:rsidRDefault="008F0D2D">
            <w:pPr>
              <w:pStyle w:val="rvps15"/>
            </w:pPr>
            <w:r>
              <w:br/>
            </w:r>
            <w:r>
              <w:br/>
            </w:r>
            <w:r>
              <w:rPr>
                <w:rStyle w:val="rvts44"/>
              </w:rPr>
              <w:t>О.І. Шаров</w:t>
            </w:r>
          </w:p>
        </w:tc>
      </w:tr>
      <w:tr w:rsidR="008F0D2D" w:rsidTr="008F0D2D">
        <w:trPr>
          <w:tblCellSpacing w:w="0" w:type="dxa"/>
        </w:trPr>
        <w:tc>
          <w:tcPr>
            <w:tcW w:w="2100" w:type="pct"/>
            <w:hideMark/>
          </w:tcPr>
          <w:p w:rsidR="008F0D2D" w:rsidRDefault="008F0D2D">
            <w:pPr>
              <w:pStyle w:val="rvps4"/>
            </w:pPr>
            <w:r>
              <w:rPr>
                <w:rStyle w:val="rvts44"/>
              </w:rPr>
              <w:t>В.о. директора Медичного</w:t>
            </w:r>
            <w:r>
              <w:t xml:space="preserve"> </w:t>
            </w:r>
            <w:r>
              <w:br/>
            </w:r>
            <w:r>
              <w:rPr>
                <w:rStyle w:val="rvts44"/>
              </w:rPr>
              <w:t>департаменту Міністерства</w:t>
            </w:r>
            <w:r>
              <w:t xml:space="preserve"> </w:t>
            </w:r>
            <w:r>
              <w:br/>
            </w:r>
            <w:r>
              <w:rPr>
                <w:rStyle w:val="rvts44"/>
              </w:rPr>
              <w:t>охорони здоров’я України</w:t>
            </w:r>
          </w:p>
        </w:tc>
        <w:tc>
          <w:tcPr>
            <w:tcW w:w="3500" w:type="pct"/>
            <w:hideMark/>
          </w:tcPr>
          <w:p w:rsidR="008F0D2D" w:rsidRDefault="008F0D2D">
            <w:pPr>
              <w:pStyle w:val="rvps15"/>
            </w:pPr>
            <w:r>
              <w:br/>
            </w:r>
            <w:r>
              <w:br/>
            </w:r>
            <w:r>
              <w:rPr>
                <w:rStyle w:val="rvts44"/>
              </w:rPr>
              <w:t>А.О. Гаврилюк</w:t>
            </w:r>
          </w:p>
        </w:tc>
      </w:tr>
    </w:tbl>
    <w:p w:rsidR="008F0D2D" w:rsidRPr="008F0D2D" w:rsidRDefault="008F0D2D">
      <w:pPr>
        <w:rPr>
          <w:lang w:val="uk-UA"/>
        </w:rPr>
      </w:pPr>
    </w:p>
    <w:sectPr w:rsidR="008F0D2D" w:rsidRPr="008F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D5"/>
    <w:rsid w:val="00163DFE"/>
    <w:rsid w:val="001D40D3"/>
    <w:rsid w:val="00526B23"/>
    <w:rsid w:val="008F0D2D"/>
    <w:rsid w:val="009145D5"/>
    <w:rsid w:val="00BB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52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52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26B23"/>
  </w:style>
  <w:style w:type="character" w:customStyle="1" w:styleId="rvts23">
    <w:name w:val="rvts23"/>
    <w:basedOn w:val="a0"/>
    <w:rsid w:val="00526B23"/>
  </w:style>
  <w:style w:type="paragraph" w:customStyle="1" w:styleId="rvps7">
    <w:name w:val="rvps7"/>
    <w:basedOn w:val="a"/>
    <w:rsid w:val="0052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26B23"/>
  </w:style>
  <w:style w:type="paragraph" w:customStyle="1" w:styleId="rvps14">
    <w:name w:val="rvps14"/>
    <w:basedOn w:val="a"/>
    <w:rsid w:val="0052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52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52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6B23"/>
    <w:rPr>
      <w:color w:val="0000FF"/>
      <w:u w:val="single"/>
    </w:rPr>
  </w:style>
  <w:style w:type="paragraph" w:customStyle="1" w:styleId="rvps2">
    <w:name w:val="rvps2"/>
    <w:basedOn w:val="a"/>
    <w:rsid w:val="0052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526B23"/>
  </w:style>
  <w:style w:type="character" w:customStyle="1" w:styleId="rvts46">
    <w:name w:val="rvts46"/>
    <w:basedOn w:val="a0"/>
    <w:rsid w:val="00526B23"/>
  </w:style>
  <w:style w:type="character" w:customStyle="1" w:styleId="rvts44">
    <w:name w:val="rvts44"/>
    <w:basedOn w:val="a0"/>
    <w:rsid w:val="00526B23"/>
  </w:style>
  <w:style w:type="paragraph" w:customStyle="1" w:styleId="rvps15">
    <w:name w:val="rvps15"/>
    <w:basedOn w:val="a"/>
    <w:rsid w:val="0052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52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BB4320"/>
  </w:style>
  <w:style w:type="character" w:customStyle="1" w:styleId="rvts0">
    <w:name w:val="rvts0"/>
    <w:basedOn w:val="a0"/>
    <w:rsid w:val="008F0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52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52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26B23"/>
  </w:style>
  <w:style w:type="character" w:customStyle="1" w:styleId="rvts23">
    <w:name w:val="rvts23"/>
    <w:basedOn w:val="a0"/>
    <w:rsid w:val="00526B23"/>
  </w:style>
  <w:style w:type="paragraph" w:customStyle="1" w:styleId="rvps7">
    <w:name w:val="rvps7"/>
    <w:basedOn w:val="a"/>
    <w:rsid w:val="0052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26B23"/>
  </w:style>
  <w:style w:type="paragraph" w:customStyle="1" w:styleId="rvps14">
    <w:name w:val="rvps14"/>
    <w:basedOn w:val="a"/>
    <w:rsid w:val="0052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52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52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6B23"/>
    <w:rPr>
      <w:color w:val="0000FF"/>
      <w:u w:val="single"/>
    </w:rPr>
  </w:style>
  <w:style w:type="paragraph" w:customStyle="1" w:styleId="rvps2">
    <w:name w:val="rvps2"/>
    <w:basedOn w:val="a"/>
    <w:rsid w:val="0052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526B23"/>
  </w:style>
  <w:style w:type="character" w:customStyle="1" w:styleId="rvts46">
    <w:name w:val="rvts46"/>
    <w:basedOn w:val="a0"/>
    <w:rsid w:val="00526B23"/>
  </w:style>
  <w:style w:type="character" w:customStyle="1" w:styleId="rvts44">
    <w:name w:val="rvts44"/>
    <w:basedOn w:val="a0"/>
    <w:rsid w:val="00526B23"/>
  </w:style>
  <w:style w:type="paragraph" w:customStyle="1" w:styleId="rvps15">
    <w:name w:val="rvps15"/>
    <w:basedOn w:val="a"/>
    <w:rsid w:val="0052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52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BB4320"/>
  </w:style>
  <w:style w:type="character" w:customStyle="1" w:styleId="rvts0">
    <w:name w:val="rvts0"/>
    <w:basedOn w:val="a0"/>
    <w:rsid w:val="008F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707-16" TargetMode="External"/><Relationship Id="rId13" Type="http://schemas.openxmlformats.org/officeDocument/2006/relationships/hyperlink" Target="https://zakon.rada.gov.ua/laws/show/z0661-12" TargetMode="External"/><Relationship Id="rId18" Type="http://schemas.openxmlformats.org/officeDocument/2006/relationships/hyperlink" Target="https://zakon.rada.gov.ua/laws/show/z0237-19" TargetMode="External"/><Relationship Id="rId26" Type="http://schemas.openxmlformats.org/officeDocument/2006/relationships/hyperlink" Target="https://zakon.rada.gov.ua/laws/show/z0237-19" TargetMode="External"/><Relationship Id="rId39" Type="http://schemas.openxmlformats.org/officeDocument/2006/relationships/hyperlink" Target="https://zakon.rada.gov.ua/laws/show/z1709-16/paran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z0661-12" TargetMode="External"/><Relationship Id="rId34" Type="http://schemas.openxmlformats.org/officeDocument/2006/relationships/hyperlink" Target="https://zakon.rada.gov.ua/laws/show/z0096-18/paran6" TargetMode="External"/><Relationship Id="rId42" Type="http://schemas.openxmlformats.org/officeDocument/2006/relationships/hyperlink" Target="https://zakon.rada.gov.ua/laws/show/z1708-16/paran4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zakon.rada.gov.ua/laws/show/1095-2004-%D0%BF" TargetMode="External"/><Relationship Id="rId12" Type="http://schemas.openxmlformats.org/officeDocument/2006/relationships/hyperlink" Target="https://zakon.rada.gov.ua/laws/show/z1454-04" TargetMode="External"/><Relationship Id="rId17" Type="http://schemas.openxmlformats.org/officeDocument/2006/relationships/hyperlink" Target="https://zakon.rada.gov.ua/laws/show/z1197-07" TargetMode="External"/><Relationship Id="rId25" Type="http://schemas.openxmlformats.org/officeDocument/2006/relationships/hyperlink" Target="https://zakon.rada.gov.ua/laws/show/z1708-16" TargetMode="External"/><Relationship Id="rId33" Type="http://schemas.openxmlformats.org/officeDocument/2006/relationships/hyperlink" Target="https://zakon.rada.gov.ua/laws/show/z0237-19/paran34" TargetMode="External"/><Relationship Id="rId38" Type="http://schemas.openxmlformats.org/officeDocument/2006/relationships/hyperlink" Target="https://zakon.rada.gov.ua/laws/show/z1709-16/paran4" TargetMode="External"/><Relationship Id="rId46" Type="http://schemas.openxmlformats.org/officeDocument/2006/relationships/hyperlink" Target="https://zakon.rada.gov.ua/laws/show/z0661-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z0011-02" TargetMode="External"/><Relationship Id="rId20" Type="http://schemas.openxmlformats.org/officeDocument/2006/relationships/hyperlink" Target="https://zakon.rada.gov.ua/laws/show/z0661-12" TargetMode="External"/><Relationship Id="rId29" Type="http://schemas.openxmlformats.org/officeDocument/2006/relationships/hyperlink" Target="https://zakon.rada.gov.ua/laws/show/z0189-08" TargetMode="External"/><Relationship Id="rId41" Type="http://schemas.openxmlformats.org/officeDocument/2006/relationships/hyperlink" Target="https://zakon.rada.gov.ua/laws/show/z1707-16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556-18" TargetMode="External"/><Relationship Id="rId11" Type="http://schemas.openxmlformats.org/officeDocument/2006/relationships/hyperlink" Target="https://zakon.rada.gov.ua/laws/show/z1710-16" TargetMode="External"/><Relationship Id="rId24" Type="http://schemas.openxmlformats.org/officeDocument/2006/relationships/hyperlink" Target="https://zakon.rada.gov.ua/laws/show/z0237-19" TargetMode="External"/><Relationship Id="rId32" Type="http://schemas.openxmlformats.org/officeDocument/2006/relationships/hyperlink" Target="https://zakon.rada.gov.ua/laws/show/z0096-18/paran2" TargetMode="External"/><Relationship Id="rId37" Type="http://schemas.openxmlformats.org/officeDocument/2006/relationships/hyperlink" Target="https://zakon.rada.gov.ua/laws/file/text/50/f463846n33.doc" TargetMode="External"/><Relationship Id="rId40" Type="http://schemas.openxmlformats.org/officeDocument/2006/relationships/hyperlink" Target="https://zakon.rada.gov.ua/laws/show/z1708-16/paran4" TargetMode="External"/><Relationship Id="rId45" Type="http://schemas.openxmlformats.org/officeDocument/2006/relationships/hyperlink" Target="https://zakon.rada.gov.ua/laws/show/z0669-12/paran3" TargetMode="External"/><Relationship Id="rId5" Type="http://schemas.openxmlformats.org/officeDocument/2006/relationships/hyperlink" Target="https://zakon.rada.gov.ua/laws/show/z0237-19" TargetMode="External"/><Relationship Id="rId15" Type="http://schemas.openxmlformats.org/officeDocument/2006/relationships/hyperlink" Target="https://zakon.rada.gov.ua/laws/show/z0011-02" TargetMode="External"/><Relationship Id="rId23" Type="http://schemas.openxmlformats.org/officeDocument/2006/relationships/hyperlink" Target="https://zakon.rada.gov.ua/laws/show/z1709-16" TargetMode="External"/><Relationship Id="rId28" Type="http://schemas.openxmlformats.org/officeDocument/2006/relationships/hyperlink" Target="https://zakon.rada.gov.ua/laws/show/z0237-19" TargetMode="External"/><Relationship Id="rId36" Type="http://schemas.openxmlformats.org/officeDocument/2006/relationships/hyperlink" Target="https://zakon.rada.gov.ua/laws/show/z1707-16/paran9" TargetMode="External"/><Relationship Id="rId10" Type="http://schemas.openxmlformats.org/officeDocument/2006/relationships/hyperlink" Target="https://zakon.rada.gov.ua/laws/show/z1709-16" TargetMode="External"/><Relationship Id="rId19" Type="http://schemas.openxmlformats.org/officeDocument/2006/relationships/hyperlink" Target="https://zakon.rada.gov.ua/laws/show/z0237-19" TargetMode="External"/><Relationship Id="rId31" Type="http://schemas.openxmlformats.org/officeDocument/2006/relationships/hyperlink" Target="https://zakon.rada.gov.ua/laws/show/z1707-16/paran8" TargetMode="External"/><Relationship Id="rId44" Type="http://schemas.openxmlformats.org/officeDocument/2006/relationships/hyperlink" Target="https://zakon.rada.gov.ua/laws/show/z1709-16/paran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1708-16" TargetMode="External"/><Relationship Id="rId14" Type="http://schemas.openxmlformats.org/officeDocument/2006/relationships/hyperlink" Target="https://zakon.rada.gov.ua/laws/show/z0237-19" TargetMode="External"/><Relationship Id="rId22" Type="http://schemas.openxmlformats.org/officeDocument/2006/relationships/hyperlink" Target="https://zakon.rada.gov.ua/laws/show/z1707-16" TargetMode="External"/><Relationship Id="rId27" Type="http://schemas.openxmlformats.org/officeDocument/2006/relationships/hyperlink" Target="https://zakon.rada.gov.ua/laws/show/z0237-19" TargetMode="External"/><Relationship Id="rId30" Type="http://schemas.openxmlformats.org/officeDocument/2006/relationships/hyperlink" Target="https://zakon.rada.gov.ua/laws/show/z0237-19" TargetMode="External"/><Relationship Id="rId35" Type="http://schemas.openxmlformats.org/officeDocument/2006/relationships/hyperlink" Target="https://zakon.rada.gov.ua/laws/show/z0237-19/paran34" TargetMode="External"/><Relationship Id="rId43" Type="http://schemas.openxmlformats.org/officeDocument/2006/relationships/hyperlink" Target="https://zakon.rada.gov.ua/laws/show/z1709-16/paran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5942</Words>
  <Characters>33872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2019-09-10T06:04:00Z</cp:lastPrinted>
  <dcterms:created xsi:type="dcterms:W3CDTF">2019-09-10T05:52:00Z</dcterms:created>
  <dcterms:modified xsi:type="dcterms:W3CDTF">2019-09-10T06:07:00Z</dcterms:modified>
</cp:coreProperties>
</file>