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9"/>
        <w:gridCol w:w="4310"/>
      </w:tblGrid>
      <w:tr w:rsidR="004F70FB" w:rsidRPr="004F70FB" w:rsidTr="004F70FB">
        <w:trPr>
          <w:tblCellSpacing w:w="0" w:type="dxa"/>
        </w:trPr>
        <w:tc>
          <w:tcPr>
            <w:tcW w:w="10348" w:type="dxa"/>
            <w:gridSpan w:val="2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EDC2E5D" wp14:editId="4FEB7EBA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4F70FB" w:rsidRPr="004F70FB" w:rsidTr="004F70FB">
        <w:trPr>
          <w:tblCellSpacing w:w="0" w:type="dxa"/>
        </w:trPr>
        <w:tc>
          <w:tcPr>
            <w:tcW w:w="10348" w:type="dxa"/>
            <w:gridSpan w:val="2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4F70FB" w:rsidRPr="004F70FB" w:rsidTr="004F70FB">
        <w:trPr>
          <w:tblCellSpacing w:w="0" w:type="dxa"/>
        </w:trPr>
        <w:tc>
          <w:tcPr>
            <w:tcW w:w="10348" w:type="dxa"/>
            <w:gridSpan w:val="2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4F70FB" w:rsidRPr="004F70FB" w:rsidTr="004F70FB">
        <w:trPr>
          <w:tblCellSpacing w:w="0" w:type="dxa"/>
        </w:trPr>
        <w:tc>
          <w:tcPr>
            <w:tcW w:w="10348" w:type="dxa"/>
            <w:gridSpan w:val="2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  № 367</w:t>
            </w:r>
          </w:p>
        </w:tc>
      </w:tr>
      <w:tr w:rsidR="004F70FB" w:rsidRPr="004F70FB" w:rsidTr="004F70FB">
        <w:trPr>
          <w:tblCellSpacing w:w="0" w:type="dxa"/>
        </w:trPr>
        <w:tc>
          <w:tcPr>
            <w:tcW w:w="6038" w:type="dxa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4310" w:type="dxa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 травня 2018 р.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564/32016</w:t>
            </w:r>
          </w:p>
        </w:tc>
      </w:tr>
    </w:tbl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Порядку зарахування, відрахування та переведення учні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державних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n156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абзацу першого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частини третьої статті 18 Закону України «Про загальну середню освіту» НАКАЗУЮ: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Затвердити </w:t>
      </w:r>
      <w:hyperlink r:id="rId6" w:anchor="n15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 зарахування, відрахування та переведення учні</w:t>
        </w:r>
        <w:proofErr w:type="gramStart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</w:t>
        </w:r>
        <w:proofErr w:type="gramEnd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 державних </w:t>
        </w:r>
        <w:proofErr w:type="gramStart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</w:t>
        </w:r>
        <w:proofErr w:type="gramEnd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комунальних закладів освіти для здобуття повної загальної середньої освіти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додається.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Визнати таким, що втратив чинність, </w:t>
      </w:r>
      <w:hyperlink r:id="rId7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наказ Міністерства освіти і науки України від 19 червня 2003 року № 389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затвердження Інструкції про порядок конкурсного приймання дітей (учнів, вихованців) до гімназій, ліцеїв, колегіумів, спеціалізованих шкіл (шкі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інтернатів)», зареєстрований в Міністерстві юстиції України 04 липня 2003 року за № 547/7868.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Департаменту загальної середньої та дошкільної освіти (Кононенко Ю.Г.) забезпечити подання цього наказу на державну реєстрацію до Міністерства юстиції України у встановленому законодавством порядку.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Управлінню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іністративно-господарського та організаційного забезпечення (Єрко І.А.) в установленому порядку зробити відмітку у справах архіву.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 Цей наказ набирає чинності з дня його офіційного опублікування.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виконанням цього наказу покласти на заступника Міністра Хобзея П.К.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837"/>
      </w:tblGrid>
      <w:tr w:rsidR="004F70FB" w:rsidRPr="004F70FB" w:rsidTr="004F70FB">
        <w:trPr>
          <w:tblCellSpacing w:w="0" w:type="dxa"/>
        </w:trPr>
        <w:tc>
          <w:tcPr>
            <w:tcW w:w="21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12"/>
            <w:bookmarkEnd w:id="9"/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35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Гриневич</w:t>
            </w:r>
          </w:p>
        </w:tc>
      </w:tr>
    </w:tbl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0" w:name="n183"/>
      <w:bookmarkEnd w:id="10"/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P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8"/>
        <w:gridCol w:w="4025"/>
      </w:tblGrid>
      <w:tr w:rsidR="004F70FB" w:rsidRPr="004F70FB" w:rsidTr="004F70FB">
        <w:trPr>
          <w:tblCellSpacing w:w="0" w:type="dxa"/>
        </w:trPr>
        <w:tc>
          <w:tcPr>
            <w:tcW w:w="30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</w:p>
        </w:tc>
        <w:tc>
          <w:tcPr>
            <w:tcW w:w="20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Міністерства освіти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і науки України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16.04.2018 № 367</w:t>
            </w:r>
          </w:p>
        </w:tc>
      </w:tr>
      <w:tr w:rsidR="004F70FB" w:rsidRPr="004F70FB" w:rsidTr="004F70FB">
        <w:trPr>
          <w:tblCellSpacing w:w="0" w:type="dxa"/>
        </w:trPr>
        <w:tc>
          <w:tcPr>
            <w:tcW w:w="30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</w:p>
        </w:tc>
        <w:tc>
          <w:tcPr>
            <w:tcW w:w="20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Зареєстровано в Міністерстві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юстиції України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 травня 2018 р.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564/32016</w:t>
            </w:r>
          </w:p>
        </w:tc>
      </w:tr>
    </w:tbl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5"/>
      <w:bookmarkEnd w:id="1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зарахування, відрахування та переведення учні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державних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комунальних закладів освіти для здобуття повної загальної середньої освіти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6"/>
      <w:bookmarkEnd w:id="1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І. Загальні положення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7"/>
      <w:bookmarkEnd w:id="1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Цей Порядок визначає механізми: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8"/>
      <w:bookmarkEnd w:id="1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ільної середньої освіти за денною формою навчання;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19"/>
      <w:bookmarkEnd w:id="1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переведення учнів з одного закладу освіти до іншого;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0"/>
      <w:bookmarkEnd w:id="1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відрахування учнів із закладів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1"/>
      <w:bookmarkEnd w:id="1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 цьому Порядку терміни вживаються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значеннях: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2"/>
      <w:bookmarkEnd w:id="2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вільні місця - місця,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як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може бути зараховано дитину (дітей) в межах спроможності закладу освіти та нормативу наповнюваності класів, визначеного </w:t>
      </w:r>
      <w:hyperlink r:id="rId8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3"/>
      <w:bookmarkEnd w:id="2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які мають право на першочергове зарахування, - діти, які проживають на території обслуговування закладу освіти;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4"/>
      <w:bookmarkEnd w:id="2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жеребкування - спосіб конкурсного відбору дітей для зарахування на вільні місця;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5"/>
      <w:bookmarkEnd w:id="2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 освіти - початкова школа, гімназія, ліцей або інший заклад загальної середньої освіти, що забезпечує здобуття початкової, базової середньої та/або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ільної середньої освіти;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6"/>
      <w:bookmarkEnd w:id="2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спроможність закладу освіти -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7"/>
      <w:bookmarkEnd w:id="2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територія обслуговування -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ісця проживання дитини.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8"/>
      <w:bookmarkEnd w:id="2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Інші терміни вживаються у значеннях, наведених в Законах України </w:t>
      </w:r>
      <w:hyperlink r:id="rId9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“Про освіту”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“Про загальну середню освіту”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29"/>
      <w:bookmarkEnd w:id="2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 цього Порядку щодо батьків дитини стосуються також інших її законних представникі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0"/>
      <w:bookmarkEnd w:id="2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Цей Порядок не поширюється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1"/>
      <w:bookmarkEnd w:id="2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заклади спеціалізованої освіти мистецького,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спортивного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військового чи наукового спрямування;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2"/>
      <w:bookmarkEnd w:id="3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 реабілітації);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3"/>
      <w:bookmarkEnd w:id="3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 професійної (професійно-технічної), фахової передвищої та вищої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4"/>
      <w:bookmarkEnd w:id="3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Зарахування до закладу освіти здійснюється відповідно до наказу його керівника, що видається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 </w:t>
      </w:r>
      <w:hyperlink r:id="rId11" w:anchor="n180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додатком 1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Порядку,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якої додаються: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5"/>
      <w:bookmarkEnd w:id="3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копія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6"/>
      <w:bookmarkEnd w:id="3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оригінал або копія медичної довідки за </w:t>
      </w:r>
      <w:hyperlink r:id="rId12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формою первинної </w:t>
        </w:r>
        <w:proofErr w:type="gramStart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</w:t>
        </w:r>
        <w:proofErr w:type="gramEnd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n37"/>
      <w:bookmarkEnd w:id="3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оригінал або копія відповідного документа про освіту (за наявності).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n38"/>
      <w:bookmarkEnd w:id="36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n39"/>
      <w:bookmarkEnd w:id="3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випадку подання копій документів, передбачених цим пунктом, оригінали мають бути подані до видання наказу про зарахування (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документа, визначеного підпунктом 1 цього пункту).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n40"/>
      <w:bookmarkEnd w:id="3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Діти або один з їх батьків, які мають довідку про взяття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без подання зазначених документів згідно з цим Порядком.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Діти, які не мають одного (чи обох) документ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ів), визначеного(их) підпунктами 1 та/або 3 пункту 4 цього розділу, та довідки, визначеної </w:t>
      </w:r>
      <w:hyperlink r:id="rId13" w:anchor="n182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додатком 2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цього Порядку, зараховуються до закладу освіти згідно з цим Порядком. У разі відсутності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 про народження дитини для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 </w:t>
      </w:r>
      <w:hyperlink r:id="rId14" w:anchor="n40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5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Положення про екстернат у загальноосвітніх навчальних закладах, затвердженого наказом Міністерства освіти і науки України від 13 березня 2017 року № 369, зареєстрованого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Міністерства юстиції України 26 березня 2017 року за № 416/30284.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Зарахування дітей до закладу освіти здійснюється, як правило, до початку навчального року та відповідно до території обслуговування (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закладів освіти ІІ, ІІ-ІІІ ступенів та ІІІ ступеня).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Органам місцевого самоврядування та місцевим органам виконавчої влади рекомендовано щороку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ніж за один місяць до завершення прийому заяв про зарахування визначати дату початку їх приймання. Такий строк не може бути меншим одного місяця (у 2018 році - не менше трьох тижнів).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дітей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зарахування дітей до закладу освіти їх розподіл між класами відбувається в межах нормативу наповнюваності класів, визначеного </w:t>
      </w:r>
      <w:hyperlink r:id="rId15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здійснюється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Інформація про закріплену за закладом територію обслуговування, спроможність закладу освіти, кількість учнів у кожному класі та відповідно наявність вільних місць у кожному з них обов’язково оприлюднюється на інформаційному стенді закладу освіти та на його веб-сайті (у разі відсутності веб-сайту закладу осв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іти - на веб-сайті органу, у сфері управління якого перебуває заклад освіти) щороку впродовж двох робочих днів з дня прийняття відповідного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ішення, але не пізніше ніж за місяць до початку прийому заяв закладами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Заклади освіти (їх філії) обробляють надані їм персональні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відповідно до </w:t>
      </w:r>
      <w:hyperlink r:id="rId16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Закону України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захист персональних даних».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Переведення учня до іншого закладу освіти здійснюється відповідно до </w:t>
      </w:r>
      <w:hyperlink r:id="rId17" w:anchor="n154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ІІІ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наказу керівника закладу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Відрахування учня із закладу освіти здійснюється відповідно до </w:t>
      </w:r>
      <w:hyperlink r:id="rId18" w:anchor="n166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ІV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 наказу керівника закладу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першого за ним робочого дня.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 повноту і достовірність усієї інформації та усіх документів, що подаються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освіти, відповідає згідно з вимогами законодавства особа, яка їх подає.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ішення, дії або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n56"/>
      <w:bookmarkEnd w:id="5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За недотримання працівниками закладу освіти положень цього Порядку відповідає керівник цього закладу освіти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n57"/>
      <w:bookmarkEnd w:id="5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ІІ. Зарахування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загальної середньої освіти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n58"/>
      <w:bookmarkEnd w:id="5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Зарахування до початкової школи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n59"/>
      <w:bookmarkEnd w:id="5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Заява про зарахування дитини до першого класу закладу освіти, за яким закріплена територія обслуговування,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якій проживає ця дитина, та документи, визначені </w:t>
      </w:r>
      <w:hyperlink r:id="rId19" w:anchor="n34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4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Порядку, подаються до відповідного закладу одним з батьків дитини особисто до 31 травня.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n60"/>
      <w:bookmarkEnd w:id="58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того, заяви про зарахування та документи, визначені пунктом 4 розділу І цього Порядку, до 31 травня можуть бути подані до інших закладів освіти (без обмеження їх кількості) для зарахування на вільні місця.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n61"/>
      <w:bookmarkEnd w:id="5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наявності та за бажанням одного з батьків при поданні заяви про зарахування може бути пред’явлено документ, що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n62"/>
      <w:bookmarkEnd w:id="6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Впродовж 01-15 червня заяви про зарахування не приймаються, що не виключає права батьків подавати їх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на вільні місця.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n63"/>
      <w:bookmarkEnd w:id="6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Присутність дитини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n64"/>
      <w:bookmarkEnd w:id="6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Дитина зараховується до першого класу за однією з процедур, визначених </w:t>
      </w:r>
      <w:hyperlink r:id="rId20" w:anchor="n65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anchor="n87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</w:t>
      </w:r>
      <w:hyperlink r:id="rId22" w:anchor="n68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 </w:t>
      </w:r>
      <w:hyperlink r:id="rId23" w:anchor="n90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розділу.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n65"/>
      <w:bookmarkEnd w:id="6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Якщо станом на 31 травня кількість поданих заяв про зарахування не перевищує загальної кількості місць у першому (перших) класі (класах),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01 червня видається наказ про зарахування усіх дітей.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n66"/>
      <w:bookmarkEnd w:id="6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зарахованих учнів із зазначенням їх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 оприлюднюється виключно в закладі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n67"/>
      <w:bookmarkEnd w:id="6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anchor="n46" w:history="1">
        <w:proofErr w:type="gramStart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</w:t>
        </w:r>
        <w:proofErr w:type="gramEnd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n68"/>
      <w:bookmarkEnd w:id="6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Якщо станом на 31 травня кількість поданих заяв про зарахування перевищує загальну кількість місць у першому (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перших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класі (класах), зарахування дітей відбувається за такими правилами: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n69"/>
      <w:bookmarkEnd w:id="6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(за його наявності);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n70"/>
      <w:bookmarkEnd w:id="68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 </w:t>
      </w:r>
      <w:hyperlink r:id="rId25" w:anchor="n92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глави 2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розділу, схвалюється педагогічною радою закладу освіти та затверджується його керівником;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n71"/>
      <w:bookmarkEnd w:id="69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</w:t>
      </w: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закладом освіти та затверджена Державною службою якості освіти України.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n72"/>
      <w:bookmarkEnd w:id="7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її відрахування з цього закладу чи незарахування до нього. Така довідка має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n73"/>
      <w:bookmarkEnd w:id="7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Впродовж двох робочих днів з дня зарахування дітей відповідно до </w:t>
      </w:r>
      <w:hyperlink r:id="rId26" w:anchor="n69" w:history="1">
        <w:proofErr w:type="gramStart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</w:t>
        </w:r>
        <w:proofErr w:type="gramEnd"/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ідпункту 1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3 цієї глави заклад освіти оприлюднює з дотриманням</w:t>
      </w:r>
      <w:hyperlink r:id="rId27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Закону України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захист персональних даних» на інформаційному стенді закладу освіти, а також на офіційному веб-сайті закладу освіти (у разі відсутності веб-сайту закладу освіти -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веб-сайті органу, у сфері управління якого перебуває заклад освіти):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n74"/>
      <w:bookmarkEnd w:id="7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зарахованих учнів із зазначенням лише їх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n75"/>
      <w:bookmarkEnd w:id="7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дату, час,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 і спосіб проведення жеребкування;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n76"/>
      <w:bookmarkEnd w:id="7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інформацію про кількість вільних місць і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ізвища дітей, які претендують на вільні місця;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n77"/>
      <w:bookmarkEnd w:id="75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n78"/>
      <w:bookmarkEnd w:id="7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n79"/>
      <w:bookmarkEnd w:id="7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відкриття додаткового (додаткових) класу (класів),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інклюзивного чи спеціального;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n80"/>
      <w:bookmarkEnd w:id="7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внесення необхідних змін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організації освітнього процесу;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n81"/>
      <w:bookmarkEnd w:id="7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вивільнення приміщень, що використовуються не за призначенням (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числі шляхом припинення орендних відносин).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n82"/>
      <w:bookmarkEnd w:id="8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якщо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n83"/>
      <w:bookmarkEnd w:id="8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відбувається у такому порядку: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n84"/>
      <w:bookmarkEnd w:id="82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85"/>
      <w:bookmarkEnd w:id="8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n86"/>
      <w:bookmarkEnd w:id="84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28" w:anchor="n46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n87"/>
      <w:bookmarkEnd w:id="8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До класів, у яких навчання здійснюється мовою корінного народу чи національної меншини поряд з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державною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n88"/>
      <w:bookmarkEnd w:id="8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інших дітей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 (за їх наявності) відбувається за результатами жеребкування до 15 червня включно.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n89"/>
      <w:bookmarkEnd w:id="87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n90"/>
      <w:bookmarkEnd w:id="8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Особливості зарахування дітей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n91"/>
      <w:bookmarkEnd w:id="8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Зарахування дітей до 2-4 класів початкової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 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ідбувається на вільні місця у порядку надходження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n92"/>
      <w:bookmarkEnd w:id="9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проведення жеребкування для зарахування дітей до закладу осві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n93"/>
      <w:bookmarkEnd w:id="9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Жеребкування проводиться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пер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іод з 05 по 10 червня.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n94"/>
      <w:bookmarkEnd w:id="9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місця, або уповноваженої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(далі - учасники жеребкування) на засадах випадкової вибірки, прозорості та відкритості.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n95"/>
      <w:bookmarkEnd w:id="93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n96"/>
      <w:bookmarkEnd w:id="9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Жеребкування проводиться за допомогою барабана, скриньки або іншого пристрою, що має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 виготовлений з прозорого матер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n97"/>
      <w:bookmarkEnd w:id="9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моменту діставання їх з пристрою.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n98"/>
      <w:bookmarkEnd w:id="9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пристрою та жеребків визначається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до її засідання, на якому відбувається жеребкування.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n99"/>
      <w:bookmarkEnd w:id="9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Загальна кількість жеребків має дорівнювати кількості дітей, які претендують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n100"/>
      <w:bookmarkEnd w:id="9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жеребків, які дають право бути зарахованим на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відповідному протоколі засідання конкурсної комісії.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n101"/>
      <w:bookmarkEnd w:id="9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n102"/>
      <w:bookmarkEnd w:id="10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конкурсною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комісією член цієї комісії.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n103"/>
      <w:bookmarkEnd w:id="10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Інформація про результат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n104"/>
      <w:bookmarkEnd w:id="10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n105"/>
      <w:bookmarkEnd w:id="10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оголошення результатів жеребкування.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n106"/>
      <w:bookmarkEnd w:id="10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Зарахування до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імназії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n107"/>
      <w:bookmarkEnd w:id="10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Зарахування до 5 класу закладу освіти І-ІІ або І-ІІІ ступенів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ідбувається після видання наказу про переведення до нього учнів 4 класу цього самого закладу освіти.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вільні місця (у разі їх наявності) діти зараховуються у такому порядку: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n108"/>
      <w:bookmarkEnd w:id="106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n109"/>
      <w:bookmarkEnd w:id="10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n110"/>
      <w:bookmarkEnd w:id="10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створення додаткового 5 класу зарахування на вільні місця може відбуватися за результатами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відбору, що організовується і проводиться відповідно до </w:t>
      </w:r>
      <w:hyperlink r:id="rId29" w:anchor="n125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пунктів 2-16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глави 4 цього розділу. У такому випадку оголошення про проведення конкурсного відбору оприлюднюється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01 червня.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n111"/>
      <w:bookmarkEnd w:id="10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до 6-9 класів гімназії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вільні місця відбувається у порядку надходження заяв про зарахування.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n112"/>
      <w:bookmarkEnd w:id="110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30" w:anchor="n46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n113"/>
      <w:bookmarkEnd w:id="11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зарахування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 або ІІ-ІІІ ступенів заяви подаються до 31 травня включно.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n114"/>
      <w:bookmarkEnd w:id="11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якщо кількість поданих станом на 31 травня заяв не перевищує загальної кількості місць у п’ятому (п’ятих) класі (класах) закладу освіти, конкурсний відбі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проводиться і 01 червня видається наказ про зарахування усіх дітей.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n115"/>
      <w:bookmarkEnd w:id="11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якщо кількість поданих станом на 31 травня заяв перевищує загальну кількість місць 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п’ятому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(п’ятих) класі (класах) закладу освіти, до 01 червня включно заклад освіти оприлюднює оголошення про проведення конкурсного відбору, що організовується і проводиться відповідно до пунктів 2-16 глави 4 цього розділу. Конкурс має бути проведений і наказ про зарахування виданий до 15 червня включно.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n116"/>
      <w:bookmarkEnd w:id="114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15 червня зарахування на вільні місця (за умови їх наявності) відбувається за результатами конкурсного відбору, що проводиться відповідно до пунктів 2-16 глави 4 цього розділу.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n117"/>
      <w:bookmarkEnd w:id="11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6-9 класів переводяться всі учні 5-8 класів цього самого закладу освіти, які не виявили намі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припинити навчання в ньому.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n118"/>
      <w:bookmarkEnd w:id="11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Зарахування до 6-9 класів на вільні місця відбувається за результатами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відбору, що проводиться відповідно до пунктів 2-16 глави 4 цього розділу.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n119"/>
      <w:bookmarkEnd w:id="117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Інформація про кількість зарахованих учнів та наявність вільних місць оприлюднюється відповідно до пункту 7 розділу І цього Порядку.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n120"/>
      <w:bookmarkEnd w:id="11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Діти, зараховані у 2018 і наступних роках до 1 класу закладів освіти з поглибленим вивченням окремих предметів та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ільним навчанням, зараховуються до 5 класу за результатами конкурсного відбору, що проводиться відповідно до пунктів 2-16 глави 4 цього розділу.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n121"/>
      <w:bookmarkEnd w:id="11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Зарахування до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іцею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n122"/>
      <w:bookmarkEnd w:id="12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Зарахування до 10 класу закладу освіти І-ІІІ або ІІ-ІІІ ступенів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ідбувається після видання наказу про переведення до нього учнів 9 класу цього самого закладу освіти, які не виявили намір припинити навчання в ньому і не були відраховані або переведені до іншого закладу освіти відповідно до цього Порядку. На вільні місця (за їх наявності) діти зараховуються за конкурсом відповідно до пунктів 3-16 цієї глави,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випадку, визначеного пунктом 2 цієї глави.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n123"/>
      <w:bookmarkEnd w:id="12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зарахування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ІІІ ступеня заяви про зарахування подаються до 15 червня включно.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ІІІ ступеня зарахування відбувається, як правило, за конкурсом відповідно до пунктів 2-16 цієї глави.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n124"/>
      <w:bookmarkEnd w:id="122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Інформація про кількість зарахованих учнів та наявність вільних місць оприлюднюється відповідно до </w:t>
      </w:r>
      <w:hyperlink r:id="rId31" w:anchor="n46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7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розділу І цього Порядку.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n125"/>
      <w:bookmarkEnd w:id="12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Конкурс не проводиться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разі, якщо кількість поданих заяв про зарахування станом на 15 червня не перевищує загальної кількості місць у класі (класах) закладу освіти з урахуванням нормативу наповнюваності класів, визначеного </w:t>
      </w:r>
      <w:hyperlink r:id="rId32" w:tgtFrame="_blank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України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загальну середню освіту».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n126"/>
      <w:bookmarkEnd w:id="12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такому випадку наказ про зарахування видається впродовж одного робочого дня,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якого зарахування відбувається на вільні місця у порядку надходження заяв.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n127"/>
      <w:bookmarkEnd w:id="12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проведення конкурсу має бути оприлюднене не пізніше наступного робочого дня після його прийняття та містити інформацію про дату, місце і час проведення вступних випробувань.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n128"/>
      <w:bookmarkEnd w:id="12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(основні вступні випробування) має бути завершений впродовж двох тижнів з дня його оголошення (з врахуванням часу для подання апеляційних скарг відповідно до цього Порядку). Наказ про зарахування видається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n129"/>
      <w:bookmarkEnd w:id="12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 початку та впродовж навчального року можуть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проведені додаткові вступні випробування для зарахування на вільні місця (за їх наявності) у 10-11 (12) класах, що проводяться на загальних засадах (у тому самому порядку і за аналогічними завданнями, що й основні вступні випробування). У такому випадку наказ про зарахування видається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наступного робочого дня після оголошення результатів конкурсу або прийняття відповідного рішення апеляційною комісією.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n130"/>
      <w:bookmarkEnd w:id="12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Порядок вступу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 та конкурсні завдання для вступних випробувань схвалюються педагогічною радою закладу освіти та затверджуються його керівником.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n131"/>
      <w:bookmarkEnd w:id="12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вступу та зразки конкурсних завдань для вступних випробувань мають бути оприлюднені на інформаційному стенді закладу освіти та на його веб-сайті (у разі відсутності веб-сайту закладу осві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 - на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веб-сайті органу, у сфері управління якого перебуває заклад освіти) не менше ніж за два місяці до початку проведення конкурсних випробувань.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n132"/>
      <w:bookmarkEnd w:id="13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Конкурс є публічним заходом і має відбуватися з дотриманням принципів академічної доброчесності, прозорості, відкритості, справедливості, чесності, об’єктивності,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івності та неупередженості.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n133"/>
      <w:bookmarkEnd w:id="13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конкурсу. Для здійснення попередньої організаційно-технічної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 таких заходів у заяві мають бути зазначені особливі освітні потреби дитини.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n134"/>
      <w:bookmarkEnd w:id="13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проведення конкурсу створюється конкурсна комі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оцінювання результатів конкурсних випробувань - предметні комісії за кожним з предметів. Склад конкурсної і предметних комісій затверджується керівником закладу освіти. Один і той самий педагогічний працівник (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практичного психолога) не може входити до складу більше ніж однієї комісії.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n135"/>
      <w:bookmarkEnd w:id="133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Види, форми проведення, кількість конкурсних випробувань (але не більше двох), перелік питань з навчальних предметів, за якими проводитимуться випробування, а також теми творчих робіт із зазначенням вимог до їх змісту, порядку оформлення та подання схвалюються педагогічною радою закладу освіти та затверджуються його керівником.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n136"/>
      <w:bookmarkEnd w:id="13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Вступні випробування мають бути спрямовані виключно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ірку результатів навчання, визначених державними стандартами початкової та базової середньої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n137"/>
      <w:bookmarkEnd w:id="13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Конкурсні випробування проводяться в усній, письмовій та/або з використанням цифрових технологій формах (тестування,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числі комп’ютерне, диктант, письмова робота, усне опитування за білетами, захист творчих робіт, співбесіда тощо).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n138"/>
      <w:bookmarkEnd w:id="13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Забороняється вимагати від учнів характеристики з попереднього місця навчання, довідки з місця роботи батькі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інші документи, не передбачені цим Порядком. Конкурсні випробування здійснюються на безоплатній основі.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n139"/>
      <w:bookmarkEnd w:id="13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Вступні випробування з одного навчального предмета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усіх вступників мають відбуватися, як правило, в один день.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n140"/>
      <w:bookmarkEnd w:id="13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допускається застосовувати ті самі варіанти завдань для випробувань, що відбуваються 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 дні.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n141"/>
      <w:bookmarkEnd w:id="13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Роботи учасників конкурсу та аркуші із записами, зробленими вступниками під час підготовки до усного випробування, а також результати конкурсних випробувань, оформлені у вигляді протоколів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ідповідної комісії, зберігаються у закладі освіти не менше одного року.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n142"/>
      <w:bookmarkEnd w:id="14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Результати усного випробування оголошуються в той самий день, письмового, цифрового - 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ізніше ніж через три робочих дні після його проведення.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n143"/>
      <w:bookmarkEnd w:id="14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Особи, які брали участь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конкурсі, зараховуються до закладу освіти згідно з отриманими результатами конкурсних випробувань.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n144"/>
      <w:bookmarkEnd w:id="14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учасникі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із виставленими балами оприлюднюються у приміщенні закладу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n145"/>
      <w:bookmarkEnd w:id="14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Учасник конкурсу (чи один із батьків), який не згоден з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ішенням конкурсної комісії, може звернутися з апеляційною скаргою до органу, у сфері управління якого перебуває заклад освіти, протягом двох робочих днів після оголошення результатів конкурсу.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n146"/>
      <w:bookmarkEnd w:id="14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Апеляційна комісія відповідного органу управління зобов’язана розглянути апеляційну скаргу впродовж трьох робочих днів з дня її надходження та ухвалити обґрунтоване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складу </w:t>
      </w:r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апеляційної комісії не можуть входити працівники закладу освіти, в якому проводився конкурс. Проведення будь-яких додаткових конкурсних випробувань дитини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 час розгляду апеляційної скарги забороняється.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n147"/>
      <w:bookmarkEnd w:id="14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Апеляційна комі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має право: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n148"/>
      <w:bookmarkEnd w:id="14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залишити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конкурсної комісії без змін;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n149"/>
      <w:bookmarkEnd w:id="14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змінити чи анулювати результати оцінювання учасника (учасників);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n150"/>
      <w:bookmarkEnd w:id="14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визнати результати конкурсу недійсними.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n151"/>
      <w:bookmarkEnd w:id="14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випадку визнання результаті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недійсними орган, у сфері управління якого перебуває відповідний заклад освіти, зобов’язаний організувати конкурс повторно.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n152"/>
      <w:bookmarkEnd w:id="15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Особа має право брати участь у конкурсах, що проводяться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ізними закладами освіти. У разі якщо особа визнана переможцем у декількох закладах освіти, вона зараховується до того з них, до якого надала оригінал документа про освіту та інші, визначені цим Порядком, документи впродовж п’яти робочих днів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оголошення результатів конкурсу у відповідному закладі, але не пізніше 31 серпня.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n153"/>
      <w:bookmarkEnd w:id="15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Керівник закладу освіти зобов’язаний забезпечити організацію та проведення конкурсу з дотриманням вимог цього Порядку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n154"/>
      <w:bookmarkEnd w:id="15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ІІІ. Переведення учнів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іж закладами освіти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n155"/>
      <w:bookmarkEnd w:id="15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Для переведення учня з одного закладу освіти до іншого учень чи один з його батьків (для учнів, які не досягли повноліття) має звернутися до обраного ним закладу освіти щодо можливості зарахування з відповідним письмовим зверненням (запитом)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ільній формі, у тому числі шляхом надсилання його сканованої копії електронною поштою.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n156"/>
      <w:bookmarkEnd w:id="15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Керівник закладу освіти упродовж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 з дати надходження такого звернення (запиту) має надати заявнику письмову відповідь (у тому числі шляхом надсилання її сканованої копії на електронну пошту заявника) про наявність чи відсутність вільних місць у певному класі та можливість чи неможливість зарахування учня до цього класу.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n157"/>
      <w:bookmarkEnd w:id="15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письмовому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ідтвердженні можливості зарахування дитини має бути зазначений кінцевий термін для подання заяви про переведення та особової справи учня.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n158"/>
      <w:bookmarkEnd w:id="15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освіти, з якого переводиться учень, подаються: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n159"/>
      <w:bookmarkEnd w:id="15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 про переведення одного з батьків учня (для учні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які не досягли повноліття) або учня;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n160"/>
      <w:bookmarkEnd w:id="15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письмове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 або його сканована копія з іншого закладу освіти про можливість зарахування до нього відповідного учня.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n161"/>
      <w:bookmarkEnd w:id="15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Упродовж одного робочого дня з дня отримання відповідних документів керівник закладу освіти зобов’язаний видати наказ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відрахування учня для переведення до іншого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освіти та видати особову справу учня.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n162"/>
      <w:bookmarkEnd w:id="16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Упродовж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робочих днів з дня отримання від закладу освіти зазначених документів учень чи один із його батьків (для учнів, які не досягли повноліття) має подати до закладу освіти, до якого переводиться учень: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n163"/>
      <w:bookmarkEnd w:id="16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 про зарахування;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n164"/>
      <w:bookmarkEnd w:id="16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особову справу учня.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n165"/>
      <w:bookmarkEnd w:id="163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такому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випадку наказ про зарахування учня до закладу освіти має бути виданий упродовж одного робочого дня з дня отримання документів, визначених цим пунктом.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n166"/>
      <w:bookmarkEnd w:id="164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ІV. Відрахування учнів із закладів освіти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n167"/>
      <w:bookmarkEnd w:id="16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Із закладу освіти відраховуються учні, які: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n168"/>
      <w:bookmarkEnd w:id="166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здобули повну загальну середню освіту та отримали відповідний документ про освіту;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n169"/>
      <w:bookmarkEnd w:id="167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зараховані до іншого закладу освіти для здобуття повної загальної середньої освіти;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n170"/>
      <w:bookmarkEnd w:id="168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переводяться до іншого закладу освіти відповідно до </w:t>
      </w:r>
      <w:hyperlink r:id="rId33" w:anchor="n154" w:history="1">
        <w:r w:rsidRPr="004F70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розділу ІІІ</w:t>
        </w:r>
      </w:hyperlink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цього Порядку;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n171"/>
      <w:bookmarkEnd w:id="169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вибувають на постійне місце проживання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межі України.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n172"/>
      <w:bookmarkEnd w:id="170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Відрахування із зазначених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 здійснюється шляхом видання відповідного наказу керівником закладу освіти.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n173"/>
      <w:bookmarkEnd w:id="171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відрахування учнів з числа дітей-сиріт та дітей, позбавлених батьківського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іклування, з причин, визначених підпунктами 3, 4 цього пункту, заклад освіти, з якого переводиться (відраховується) учень, не пізніше наступного робочого дня з дня видання наказу повідомляє відповідну службу у справах дітей.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n174"/>
      <w:bookmarkEnd w:id="172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ішенням педагогічної ради та відповідно до наказу керівника можуть бути відраховані (чи переведені на іншу (крім денної) форму здобуття загальної середньої освіти у цьому самому чи іншому закладі освіти) учні 9 класу, яких було зараховано до закладу за результатами конкурсу і які здобули початковий результат (1, 2 чи 3 бали) чи не здобули жодного результату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ічного оцінювання та (або) державної підсумкової атестації з одного з предметів, що ними вивчалися поглиблено відповідно до освітньої програми та навчального плану закладу освіти чи індивідуального навчального плану учня.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n175"/>
      <w:bookmarkEnd w:id="173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можливого відрахування.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n176"/>
      <w:bookmarkEnd w:id="174"/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 про відрахування дітей-сиріт та дітей, позбавлених батьківського піклування, приймається лише за згодою органів опіки та піклування.</w:t>
      </w:r>
    </w:p>
    <w:p w:rsidR="004F70FB" w:rsidRPr="004F70FB" w:rsidRDefault="004F70FB" w:rsidP="004F70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n177"/>
      <w:bookmarkEnd w:id="175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Особи, які не завершили здобуття повної загальної середньої освіти та не отримали відповідний документ про освіту </w:t>
      </w:r>
      <w:proofErr w:type="gramStart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F70FB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 завершення останнього класу ліцею, відповідно до рішення педагогічної ради можуть бути відраховані із закладу освіти або переведені на іншу (крім денної) форму здобуття освіти в цьому самому або іншому закладі освіти.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5837"/>
      </w:tblGrid>
      <w:tr w:rsidR="004F70FB" w:rsidRPr="004F70FB" w:rsidTr="004F70FB">
        <w:trPr>
          <w:tblCellSpacing w:w="0" w:type="dxa"/>
        </w:trPr>
        <w:tc>
          <w:tcPr>
            <w:tcW w:w="21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n178"/>
            <w:bookmarkEnd w:id="176"/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департаменту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загальної середньої </w:t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 дошкільної освіти</w:t>
            </w:r>
          </w:p>
        </w:tc>
        <w:tc>
          <w:tcPr>
            <w:tcW w:w="3500" w:type="pct"/>
            <w:hideMark/>
          </w:tcPr>
          <w:p w:rsidR="004F70FB" w:rsidRPr="004F70FB" w:rsidRDefault="004F70FB" w:rsidP="004F7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F7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Ю.Г. Кононенко</w:t>
            </w:r>
          </w:p>
        </w:tc>
      </w:tr>
    </w:tbl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77" w:name="n184"/>
      <w:bookmarkStart w:id="178" w:name="n179"/>
      <w:bookmarkStart w:id="179" w:name="n180"/>
      <w:bookmarkStart w:id="180" w:name="n182"/>
      <w:bookmarkEnd w:id="177"/>
      <w:bookmarkEnd w:id="178"/>
      <w:bookmarkEnd w:id="179"/>
      <w:bookmarkEnd w:id="180"/>
    </w:p>
    <w:p w:rsid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F70FB" w:rsidRPr="004F70FB" w:rsidRDefault="004F70FB" w:rsidP="004F7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1680"/>
        <w:tblW w:w="9853" w:type="dxa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4F70FB" w:rsidRPr="00B415C2" w:rsidTr="004F70FB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1</w:t>
            </w:r>
          </w:p>
          <w:p w:rsidR="004F70FB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</w:t>
            </w:r>
            <w:proofErr w:type="gramStart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до державних </w:t>
            </w:r>
            <w:proofErr w:type="gramStart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та</w:t>
            </w:r>
            <w:proofErr w:type="gramEnd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(пункт 4 розділу І)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4F70FB" w:rsidRPr="00B415C2" w:rsidTr="004F70FB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70FB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proofErr w:type="gramStart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</w:t>
            </w:r>
            <w:proofErr w:type="gramEnd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ізвище та ініціали директора)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</w:t>
            </w:r>
            <w:proofErr w:type="gramStart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</w:t>
            </w:r>
            <w:proofErr w:type="gramEnd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ізвище, ім’я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 батькові (за наявності) заявника чи одного з батьків дитини)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(адреса фактичного </w:t>
            </w:r>
            <w:proofErr w:type="gramStart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</w:t>
            </w:r>
            <w:proofErr w:type="gramEnd"/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ісця проживання)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4F70FB" w:rsidRPr="005414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4F70FB" w:rsidRPr="005414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закладу освіти</w:t>
      </w: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F70FB" w:rsidRPr="00B415C2" w:rsidTr="004F70FB">
        <w:trPr>
          <w:trHeight w:val="80"/>
        </w:trPr>
        <w:tc>
          <w:tcPr>
            <w:tcW w:w="9853" w:type="dxa"/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4F70FB" w:rsidRPr="00B415C2" w:rsidTr="00EF6165">
        <w:tc>
          <w:tcPr>
            <w:tcW w:w="9853" w:type="dxa"/>
          </w:tcPr>
          <w:p w:rsidR="004F70FB" w:rsidRPr="0040221C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</w:t>
            </w: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</w:t>
            </w:r>
            <w:proofErr w:type="gramEnd"/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ізвище, ім’я, по батькові (за наявності), дата народження)</w:t>
            </w:r>
          </w:p>
        </w:tc>
      </w:tr>
      <w:tr w:rsidR="004F70FB" w:rsidRPr="00B415C2" w:rsidTr="00EF6165">
        <w:tc>
          <w:tcPr>
            <w:tcW w:w="9853" w:type="dxa"/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живає (чи перебуває) за адресою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proofErr w:type="gramEnd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_____________ форму здобуття освіти.</w:t>
            </w:r>
          </w:p>
          <w:p w:rsidR="004F70FB" w:rsidRPr="00D5579A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 xml:space="preserve">потрібне </w:t>
            </w:r>
            <w:proofErr w:type="gramStart"/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(_______________________________________________________);</w:t>
            </w:r>
          </w:p>
          <w:p w:rsidR="004F70FB" w:rsidRPr="0040221C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(назва і реквізити документа, що </w:t>
            </w:r>
            <w:proofErr w:type="gramStart"/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</w:t>
            </w:r>
            <w:proofErr w:type="gramEnd"/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ідтверджує проживання на території обслуговування закладу освіти)</w:t>
            </w:r>
          </w:p>
        </w:tc>
      </w:tr>
      <w:tr w:rsidR="004F70FB" w:rsidRPr="00B415C2" w:rsidTr="00EF6165">
        <w:tc>
          <w:tcPr>
            <w:tcW w:w="9853" w:type="dxa"/>
          </w:tcPr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</w:t>
            </w:r>
            <w:proofErr w:type="gramStart"/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4F70FB" w:rsidRPr="0040221C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gramStart"/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  <w:proofErr w:type="gramEnd"/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ізвище, ім’я, по батькові (за наявності) брата/сестри)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роботу одного з батьків дитини в закладі освіти __________________ ____________________________________________________________________;</w:t>
            </w:r>
          </w:p>
          <w:p w:rsidR="004F70FB" w:rsidRPr="0040221C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gramStart"/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пр</w:t>
            </w:r>
            <w:proofErr w:type="gramEnd"/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ізвище, ім’я, по батькові (за наявності), посада працівника закладу освіти)</w:t>
            </w:r>
          </w:p>
          <w:p w:rsidR="004F70FB" w:rsidRPr="00B415C2" w:rsidRDefault="004F70FB" w:rsidP="004F7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дитини у дошкільному </w:t>
            </w:r>
            <w:proofErr w:type="gramStart"/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</w:tbl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4F70FB" w:rsidRDefault="004F70FB" w:rsidP="004F70FB">
      <w:pPr>
        <w:spacing w:line="240" w:lineRule="auto"/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F70FB" w:rsidRPr="00FE0F2A" w:rsidTr="00EF6165">
        <w:trPr>
          <w:trHeight w:val="216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D21870" w:rsidRDefault="004F70FB" w:rsidP="004F70FB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потребу у додатковій постійній чи тимчасовій </w:t>
            </w:r>
            <w:proofErr w:type="gramStart"/>
            <w:r w:rsidRPr="00FE0F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F2A">
              <w:rPr>
                <w:rFonts w:ascii="Times New Roman" w:hAnsi="Times New Roman"/>
                <w:sz w:val="28"/>
                <w:szCs w:val="28"/>
              </w:rPr>
              <w:t>ідтримці в освітньому процесі: так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E0F2A">
              <w:rPr>
                <w:rFonts w:ascii="Times New Roman" w:hAnsi="Times New Roman"/>
                <w:sz w:val="28"/>
                <w:szCs w:val="28"/>
              </w:rPr>
              <w:t xml:space="preserve">/ні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(потрібне підкреслити)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F70FB" w:rsidRPr="00FE0F2A" w:rsidRDefault="004F70FB" w:rsidP="004F70FB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інші обставини, що є важливими для належної організації освітнього процесу ____________________________________________________________</w:t>
            </w:r>
          </w:p>
          <w:p w:rsidR="004F70FB" w:rsidRPr="00FE0F2A" w:rsidRDefault="004F70FB" w:rsidP="004F70FB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E0F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E0F2A">
              <w:rPr>
                <w:rFonts w:ascii="Times New Roman" w:hAnsi="Times New Roman"/>
                <w:sz w:val="28"/>
                <w:szCs w:val="28"/>
              </w:rPr>
              <w:t>ідтверджую достовірність всієї інформації, зазначеної в цій заяві та у доданих до заяви документах.</w:t>
            </w:r>
          </w:p>
          <w:p w:rsidR="004F70FB" w:rsidRDefault="004F70FB" w:rsidP="004F70FB">
            <w:pPr>
              <w:spacing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Додатки:</w:t>
            </w:r>
          </w:p>
          <w:p w:rsidR="004F70FB" w:rsidRPr="00FE0F2A" w:rsidRDefault="004F70FB" w:rsidP="004F70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4F70FB" w:rsidRPr="00FE0F2A" w:rsidRDefault="004F70FB" w:rsidP="004F70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(за переліком</w:t>
            </w:r>
            <w:r w:rsidRPr="00FE0F2A">
              <w:rPr>
                <w:rFonts w:ascii="Times New Roman" w:hAnsi="Times New Roman"/>
                <w:sz w:val="20"/>
                <w:szCs w:val="20"/>
              </w:rPr>
              <w:t xml:space="preserve"> згідно з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  <w:proofErr w:type="gramEnd"/>
          </w:p>
        </w:tc>
      </w:tr>
      <w:tr w:rsidR="004F70FB" w:rsidRPr="00FE0F2A" w:rsidTr="00EF6165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FE0F2A" w:rsidRDefault="004F70FB" w:rsidP="004F7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0FB" w:rsidRPr="00FE0F2A" w:rsidRDefault="004F70FB" w:rsidP="004F7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0FB" w:rsidRPr="00FE0F2A" w:rsidRDefault="004F70FB" w:rsidP="004F70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70FB" w:rsidRPr="00FE0F2A" w:rsidRDefault="004F70FB" w:rsidP="004F70F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                                                                            ________________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0221C">
              <w:rPr>
                <w:rFonts w:ascii="Times New Roman" w:hAnsi="Times New Roman"/>
                <w:iCs/>
                <w:sz w:val="18"/>
                <w:szCs w:val="18"/>
              </w:rPr>
              <w:t>дата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)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40221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0221C">
              <w:rPr>
                <w:rFonts w:ascii="Times New Roman" w:hAnsi="Times New Roman"/>
                <w:sz w:val="18"/>
                <w:szCs w:val="18"/>
              </w:rPr>
              <w:t>ідпис)</w:t>
            </w:r>
          </w:p>
        </w:tc>
      </w:tr>
    </w:tbl>
    <w:p w:rsidR="004F70FB" w:rsidRDefault="004F70FB" w:rsidP="004F70FB">
      <w:pPr>
        <w:spacing w:line="240" w:lineRule="auto"/>
      </w:pPr>
    </w:p>
    <w:p w:rsidR="004F70FB" w:rsidRDefault="004F70FB" w:rsidP="004F70FB">
      <w:pPr>
        <w:spacing w:line="240" w:lineRule="auto"/>
      </w:pPr>
    </w:p>
    <w:p w:rsidR="004F70FB" w:rsidRDefault="004F70FB" w:rsidP="004F70FB">
      <w:pPr>
        <w:spacing w:line="240" w:lineRule="auto"/>
      </w:pPr>
    </w:p>
    <w:p w:rsidR="004F70FB" w:rsidRDefault="004F70FB" w:rsidP="004F70FB">
      <w:pPr>
        <w:spacing w:line="240" w:lineRule="auto"/>
      </w:pPr>
    </w:p>
    <w:p w:rsidR="004F70FB" w:rsidRDefault="004F70FB" w:rsidP="004F70FB">
      <w:pPr>
        <w:spacing w:line="240" w:lineRule="auto"/>
      </w:pPr>
      <w:r>
        <w:t>______________________________________</w:t>
      </w:r>
    </w:p>
    <w:p w:rsidR="004F70FB" w:rsidRPr="0040221C" w:rsidRDefault="004F70FB" w:rsidP="004F70FB">
      <w:pPr>
        <w:spacing w:line="240" w:lineRule="auto"/>
        <w:rPr>
          <w:rFonts w:ascii="Times New Roman CYR" w:hAnsi="Times New Roman CYR" w:cs="Times New Roman CYR"/>
          <w:sz w:val="2"/>
          <w:szCs w:val="2"/>
        </w:rPr>
      </w:pPr>
      <w:r>
        <w:t>*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  <w:p w:rsidR="005B0ADD" w:rsidRDefault="005B0ADD" w:rsidP="004F70FB">
      <w:pPr>
        <w:ind w:left="-709"/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</w:p>
    <w:p w:rsidR="004F70FB" w:rsidRDefault="004F70FB">
      <w:pPr>
        <w:rPr>
          <w:lang w:val="uk-UA"/>
        </w:rPr>
      </w:pPr>
      <w:bookmarkStart w:id="181" w:name="_GoBack"/>
      <w:bookmarkEnd w:id="181"/>
    </w:p>
    <w:p w:rsidR="004F70FB" w:rsidRDefault="004F70FB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5"/>
        <w:gridCol w:w="4928"/>
      </w:tblGrid>
      <w:tr w:rsidR="004F70FB" w:rsidRPr="00B415C2" w:rsidTr="00EF6165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Додаток 2</w:t>
            </w:r>
          </w:p>
          <w:p w:rsidR="004F70FB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до Порядку </w:t>
            </w:r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зарахування, відрахування та переведення учні</w:t>
            </w:r>
            <w:proofErr w:type="gramStart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до державних </w:t>
            </w:r>
            <w:proofErr w:type="gramStart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та</w:t>
            </w:r>
            <w:proofErr w:type="gramEnd"/>
            <w:r w:rsidRPr="00B415C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 xml:space="preserve"> комунальних закладів освіти для здобуття повної загальної середньої освіти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4F70FB" w:rsidRPr="00B415C2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розділу І)</w:t>
            </w:r>
          </w:p>
          <w:p w:rsidR="004F70FB" w:rsidRPr="00B415C2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Бланк закладу/кутовий штамп</w:t>
      </w: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ДОВІДКА</w:t>
      </w: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4F70FB" w:rsidRPr="00B415C2" w:rsidTr="00EF616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B415C2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Ц</w:t>
            </w:r>
            <w:proofErr w:type="gramEnd"/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ією довідкою підтверджується, що ________________________________ </w:t>
            </w:r>
          </w:p>
        </w:tc>
      </w:tr>
      <w:tr w:rsidR="004F70FB" w:rsidRPr="00B415C2" w:rsidTr="00EF6165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4F70FB" w:rsidRPr="00EE70C1" w:rsidRDefault="004F70FB" w:rsidP="00EF61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</w:t>
            </w:r>
            <w:r w:rsidRPr="00EE70C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(</w:t>
            </w:r>
            <w:proofErr w:type="gramStart"/>
            <w:r w:rsidRPr="00EE70C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пр</w:t>
            </w:r>
            <w:proofErr w:type="gramEnd"/>
            <w:r w:rsidRPr="00EE70C1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ізвище, ім’я, по батькові (за наявності), дата народження)</w:t>
            </w:r>
          </w:p>
        </w:tc>
      </w:tr>
    </w:tbl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ідраховани</w:t>
      </w:r>
      <w:proofErr w:type="gramStart"/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а)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 (незарахований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(а)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) із (до) закладу освіти.</w:t>
      </w: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70FB" w:rsidRPr="00B415C2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 </w:t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________________</w:t>
      </w:r>
    </w:p>
    <w:p w:rsidR="004F70FB" w:rsidRPr="00EE70C1" w:rsidRDefault="004F70FB" w:rsidP="004F70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415C2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</w:t>
      </w:r>
      <w:r w:rsidRPr="00EE70C1">
        <w:rPr>
          <w:rFonts w:ascii="Times New Roman CYR" w:hAnsi="Times New Roman CYR" w:cs="Times New Roman CYR"/>
          <w:color w:val="000000"/>
          <w:sz w:val="18"/>
          <w:szCs w:val="18"/>
        </w:rPr>
        <w:t>(</w:t>
      </w:r>
      <w:proofErr w:type="gramStart"/>
      <w:r w:rsidRPr="00EE70C1">
        <w:rPr>
          <w:rFonts w:ascii="Times New Roman CYR" w:hAnsi="Times New Roman CYR" w:cs="Times New Roman CYR"/>
          <w:color w:val="000000"/>
          <w:sz w:val="18"/>
          <w:szCs w:val="18"/>
        </w:rPr>
        <w:t>п</w:t>
      </w:r>
      <w:proofErr w:type="gramEnd"/>
      <w:r w:rsidRPr="00EE70C1">
        <w:rPr>
          <w:rFonts w:ascii="Times New Roman CYR" w:hAnsi="Times New Roman CYR" w:cs="Times New Roman CYR"/>
          <w:color w:val="000000"/>
          <w:sz w:val="18"/>
          <w:szCs w:val="18"/>
        </w:rPr>
        <w:t>ідпис)</w:t>
      </w:r>
    </w:p>
    <w:p w:rsidR="004F70FB" w:rsidRPr="004F70FB" w:rsidRDefault="004F70FB">
      <w:pPr>
        <w:rPr>
          <w:lang w:val="uk-UA"/>
        </w:rPr>
      </w:pPr>
    </w:p>
    <w:sectPr w:rsidR="004F70FB" w:rsidRPr="004F70FB" w:rsidSect="004F70F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F8"/>
    <w:rsid w:val="001C6FF8"/>
    <w:rsid w:val="004F70FB"/>
    <w:rsid w:val="005B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F70FB"/>
  </w:style>
  <w:style w:type="paragraph" w:customStyle="1" w:styleId="rvps4">
    <w:name w:val="rvps4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F70FB"/>
  </w:style>
  <w:style w:type="character" w:customStyle="1" w:styleId="rvts23">
    <w:name w:val="rvts23"/>
    <w:basedOn w:val="a0"/>
    <w:rsid w:val="004F70FB"/>
  </w:style>
  <w:style w:type="paragraph" w:customStyle="1" w:styleId="rvps7">
    <w:name w:val="rvps7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70FB"/>
  </w:style>
  <w:style w:type="paragraph" w:customStyle="1" w:styleId="rvps14">
    <w:name w:val="rvps14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0FB"/>
    <w:rPr>
      <w:color w:val="0000FF"/>
      <w:u w:val="single"/>
    </w:rPr>
  </w:style>
  <w:style w:type="character" w:customStyle="1" w:styleId="rvts52">
    <w:name w:val="rvts52"/>
    <w:basedOn w:val="a0"/>
    <w:rsid w:val="004F70FB"/>
  </w:style>
  <w:style w:type="character" w:customStyle="1" w:styleId="rvts44">
    <w:name w:val="rvts44"/>
    <w:basedOn w:val="a0"/>
    <w:rsid w:val="004F70FB"/>
  </w:style>
  <w:style w:type="paragraph" w:customStyle="1" w:styleId="rvps15">
    <w:name w:val="rvps15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F70FB"/>
  </w:style>
  <w:style w:type="paragraph" w:customStyle="1" w:styleId="rvps4">
    <w:name w:val="rvps4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F70FB"/>
  </w:style>
  <w:style w:type="character" w:customStyle="1" w:styleId="rvts23">
    <w:name w:val="rvts23"/>
    <w:basedOn w:val="a0"/>
    <w:rsid w:val="004F70FB"/>
  </w:style>
  <w:style w:type="paragraph" w:customStyle="1" w:styleId="rvps7">
    <w:name w:val="rvps7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F70FB"/>
  </w:style>
  <w:style w:type="paragraph" w:customStyle="1" w:styleId="rvps14">
    <w:name w:val="rvps14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70FB"/>
    <w:rPr>
      <w:color w:val="0000FF"/>
      <w:u w:val="single"/>
    </w:rPr>
  </w:style>
  <w:style w:type="character" w:customStyle="1" w:styleId="rvts52">
    <w:name w:val="rvts52"/>
    <w:basedOn w:val="a0"/>
    <w:rsid w:val="004F70FB"/>
  </w:style>
  <w:style w:type="character" w:customStyle="1" w:styleId="rvts44">
    <w:name w:val="rvts44"/>
    <w:basedOn w:val="a0"/>
    <w:rsid w:val="004F70FB"/>
  </w:style>
  <w:style w:type="paragraph" w:customStyle="1" w:styleId="rvps15">
    <w:name w:val="rvps15"/>
    <w:basedOn w:val="a"/>
    <w:rsid w:val="004F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51-14" TargetMode="External"/><Relationship Id="rId13" Type="http://schemas.openxmlformats.org/officeDocument/2006/relationships/hyperlink" Target="https://zakon.rada.gov.ua/laws/show/z0564-18" TargetMode="External"/><Relationship Id="rId18" Type="http://schemas.openxmlformats.org/officeDocument/2006/relationships/hyperlink" Target="https://zakon.rada.gov.ua/laws/show/z0564-18" TargetMode="External"/><Relationship Id="rId26" Type="http://schemas.openxmlformats.org/officeDocument/2006/relationships/hyperlink" Target="https://zakon.rada.gov.ua/laws/show/z0564-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z0564-18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akon.rada.gov.ua/laws/show/z0547-03" TargetMode="External"/><Relationship Id="rId12" Type="http://schemas.openxmlformats.org/officeDocument/2006/relationships/hyperlink" Target="https://zakon.rada.gov.ua/laws/show/z0794-10" TargetMode="External"/><Relationship Id="rId17" Type="http://schemas.openxmlformats.org/officeDocument/2006/relationships/hyperlink" Target="https://zakon.rada.gov.ua/laws/show/z0564-18" TargetMode="External"/><Relationship Id="rId25" Type="http://schemas.openxmlformats.org/officeDocument/2006/relationships/hyperlink" Target="https://zakon.rada.gov.ua/laws/show/z0564-18" TargetMode="External"/><Relationship Id="rId33" Type="http://schemas.openxmlformats.org/officeDocument/2006/relationships/hyperlink" Target="https://zakon.rada.gov.ua/laws/show/z0564-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hyperlink" Target="https://zakon.rada.gov.ua/laws/show/z0564-18" TargetMode="External"/><Relationship Id="rId29" Type="http://schemas.openxmlformats.org/officeDocument/2006/relationships/hyperlink" Target="https://zakon.rada.gov.ua/laws/show/z0564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564-18" TargetMode="External"/><Relationship Id="rId11" Type="http://schemas.openxmlformats.org/officeDocument/2006/relationships/hyperlink" Target="https://zakon.rada.gov.ua/laws/show/z0564-18" TargetMode="External"/><Relationship Id="rId24" Type="http://schemas.openxmlformats.org/officeDocument/2006/relationships/hyperlink" Target="https://zakon.rada.gov.ua/laws/show/z0564-18" TargetMode="External"/><Relationship Id="rId32" Type="http://schemas.openxmlformats.org/officeDocument/2006/relationships/hyperlink" Target="https://zakon.rada.gov.ua/laws/show/651-14" TargetMode="External"/><Relationship Id="rId5" Type="http://schemas.openxmlformats.org/officeDocument/2006/relationships/hyperlink" Target="https://zakon.rada.gov.ua/laws/show/651-14" TargetMode="External"/><Relationship Id="rId15" Type="http://schemas.openxmlformats.org/officeDocument/2006/relationships/hyperlink" Target="https://zakon.rada.gov.ua/laws/show/651-14" TargetMode="External"/><Relationship Id="rId23" Type="http://schemas.openxmlformats.org/officeDocument/2006/relationships/hyperlink" Target="https://zakon.rada.gov.ua/laws/show/z0564-18" TargetMode="External"/><Relationship Id="rId28" Type="http://schemas.openxmlformats.org/officeDocument/2006/relationships/hyperlink" Target="https://zakon.rada.gov.ua/laws/show/z0564-18" TargetMode="External"/><Relationship Id="rId10" Type="http://schemas.openxmlformats.org/officeDocument/2006/relationships/hyperlink" Target="https://zakon.rada.gov.ua/laws/show/651-14" TargetMode="External"/><Relationship Id="rId19" Type="http://schemas.openxmlformats.org/officeDocument/2006/relationships/hyperlink" Target="https://zakon.rada.gov.ua/laws/show/z0564-18" TargetMode="External"/><Relationship Id="rId31" Type="http://schemas.openxmlformats.org/officeDocument/2006/relationships/hyperlink" Target="https://zakon.rada.gov.ua/laws/show/z0564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z0416-17" TargetMode="External"/><Relationship Id="rId22" Type="http://schemas.openxmlformats.org/officeDocument/2006/relationships/hyperlink" Target="https://zakon.rada.gov.ua/laws/show/z0564-18" TargetMode="External"/><Relationship Id="rId27" Type="http://schemas.openxmlformats.org/officeDocument/2006/relationships/hyperlink" Target="https://zakon.rada.gov.ua/laws/show/2297-17" TargetMode="External"/><Relationship Id="rId30" Type="http://schemas.openxmlformats.org/officeDocument/2006/relationships/hyperlink" Target="https://zakon.rada.gov.ua/laws/show/z0564-1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2020-06-03T07:40:00Z</cp:lastPrinted>
  <dcterms:created xsi:type="dcterms:W3CDTF">2020-06-03T07:33:00Z</dcterms:created>
  <dcterms:modified xsi:type="dcterms:W3CDTF">2020-06-03T07:40:00Z</dcterms:modified>
</cp:coreProperties>
</file>