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C1" w:rsidRDefault="00BD74C1"/>
    <w:tbl>
      <w:tblPr>
        <w:tblW w:w="5139" w:type="pct"/>
        <w:tblCellSpacing w:w="0" w:type="dxa"/>
        <w:tblInd w:w="-284" w:type="dxa"/>
        <w:tblCellMar>
          <w:left w:w="0" w:type="dxa"/>
          <w:right w:w="0" w:type="dxa"/>
        </w:tblCellMar>
        <w:tblLook w:val="04A0" w:firstRow="1" w:lastRow="0" w:firstColumn="1" w:lastColumn="0" w:noHBand="0" w:noVBand="1"/>
      </w:tblPr>
      <w:tblGrid>
        <w:gridCol w:w="6407"/>
        <w:gridCol w:w="4082"/>
      </w:tblGrid>
      <w:tr w:rsidR="00EA434C" w:rsidRPr="00EA434C" w:rsidTr="00982695">
        <w:trPr>
          <w:tblCellSpacing w:w="0" w:type="dxa"/>
        </w:trPr>
        <w:tc>
          <w:tcPr>
            <w:tcW w:w="10489" w:type="dxa"/>
            <w:gridSpan w:val="2"/>
            <w:hideMark/>
          </w:tcPr>
          <w:p w:rsidR="00EA434C" w:rsidRPr="00EA434C" w:rsidRDefault="00EA434C" w:rsidP="00EA434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14:anchorId="284B017C" wp14:editId="6084C54A">
                      <wp:extent cx="304800" cy="30480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7Xld&#10;nfsCAAD8BQAADgAAAAAAAAAAAAAAAAAuAgAAZHJzL2Uyb0RvYy54bWxQSwECLQAUAAYACAAAACEA&#10;TKDpLNgAAAADAQAADwAAAAAAAAAAAAAAAABVBQAAZHJzL2Rvd25yZXYueG1sUEsFBgAAAAAEAAQA&#10;8wAAAFoGAAAAAA==&#10;" filled="f" stroked="f">
                      <o:lock v:ext="edit" aspectratio="t"/>
                      <w10:anchorlock/>
                    </v:rect>
                  </w:pict>
                </mc:Fallback>
              </mc:AlternateContent>
            </w:r>
          </w:p>
        </w:tc>
      </w:tr>
      <w:tr w:rsidR="00EA434C" w:rsidRPr="00982695" w:rsidTr="00982695">
        <w:trPr>
          <w:tblCellSpacing w:w="0" w:type="dxa"/>
        </w:trPr>
        <w:tc>
          <w:tcPr>
            <w:tcW w:w="10489" w:type="dxa"/>
            <w:gridSpan w:val="2"/>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 xml:space="preserve">МІНІСТЕРСТВО ОСВІТИ І НАУКИ, МОЛОДІ ТА СПОРТУ УКРАЇНИ </w:t>
            </w:r>
            <w:r w:rsidRPr="00982695">
              <w:rPr>
                <w:rFonts w:ascii="Times New Roman" w:eastAsia="Times New Roman" w:hAnsi="Times New Roman" w:cs="Times New Roman"/>
                <w:sz w:val="20"/>
                <w:szCs w:val="24"/>
                <w:lang w:eastAsia="ru-RU"/>
              </w:rPr>
              <w:br/>
              <w:t>МІНІСТЕРСТВО ОХОРОНИ ЗДОРОВ’Я УКРАЇНИ</w:t>
            </w:r>
          </w:p>
        </w:tc>
      </w:tr>
      <w:tr w:rsidR="00EA434C" w:rsidRPr="00982695" w:rsidTr="00982695">
        <w:trPr>
          <w:tblCellSpacing w:w="0" w:type="dxa"/>
        </w:trPr>
        <w:tc>
          <w:tcPr>
            <w:tcW w:w="10489" w:type="dxa"/>
            <w:gridSpan w:val="2"/>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НАКАЗ</w:t>
            </w:r>
          </w:p>
        </w:tc>
      </w:tr>
      <w:tr w:rsidR="00EA434C" w:rsidRPr="00982695" w:rsidTr="00982695">
        <w:trPr>
          <w:tblCellSpacing w:w="0" w:type="dxa"/>
        </w:trPr>
        <w:tc>
          <w:tcPr>
            <w:tcW w:w="10489" w:type="dxa"/>
            <w:gridSpan w:val="2"/>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0" w:name="_GoBack"/>
            <w:r w:rsidRPr="00982695">
              <w:rPr>
                <w:rFonts w:ascii="Times New Roman" w:eastAsia="Times New Roman" w:hAnsi="Times New Roman" w:cs="Times New Roman"/>
                <w:sz w:val="20"/>
                <w:szCs w:val="24"/>
                <w:lang w:eastAsia="ru-RU"/>
              </w:rPr>
              <w:t>01.02.2013  № 72/78</w:t>
            </w:r>
            <w:bookmarkEnd w:id="0"/>
          </w:p>
        </w:tc>
      </w:tr>
      <w:tr w:rsidR="00EA434C" w:rsidRPr="00982695" w:rsidTr="00982695">
        <w:trPr>
          <w:tblCellSpacing w:w="0" w:type="dxa"/>
        </w:trPr>
        <w:tc>
          <w:tcPr>
            <w:tcW w:w="6407" w:type="dxa"/>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1" w:name="n3"/>
            <w:bookmarkEnd w:id="1"/>
          </w:p>
        </w:tc>
        <w:tc>
          <w:tcPr>
            <w:tcW w:w="4082" w:type="dxa"/>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 xml:space="preserve">Зареєстровано в Міністерстві </w:t>
            </w:r>
            <w:r w:rsidRPr="00982695">
              <w:rPr>
                <w:rFonts w:ascii="Times New Roman" w:eastAsia="Times New Roman" w:hAnsi="Times New Roman" w:cs="Times New Roman"/>
                <w:sz w:val="20"/>
                <w:szCs w:val="24"/>
                <w:lang w:eastAsia="ru-RU"/>
              </w:rPr>
              <w:br/>
              <w:t xml:space="preserve">юстиції України </w:t>
            </w:r>
            <w:r w:rsidRPr="00982695">
              <w:rPr>
                <w:rFonts w:ascii="Times New Roman" w:eastAsia="Times New Roman" w:hAnsi="Times New Roman" w:cs="Times New Roman"/>
                <w:sz w:val="20"/>
                <w:szCs w:val="24"/>
                <w:lang w:eastAsia="ru-RU"/>
              </w:rPr>
              <w:br/>
              <w:t xml:space="preserve">18 лютого 2013 р. </w:t>
            </w:r>
            <w:r w:rsidRPr="00982695">
              <w:rPr>
                <w:rFonts w:ascii="Times New Roman" w:eastAsia="Times New Roman" w:hAnsi="Times New Roman" w:cs="Times New Roman"/>
                <w:sz w:val="20"/>
                <w:szCs w:val="24"/>
                <w:lang w:eastAsia="ru-RU"/>
              </w:rPr>
              <w:br/>
              <w:t>за № 288/22820</w:t>
            </w:r>
          </w:p>
        </w:tc>
      </w:tr>
    </w:tbl>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2" w:name="n4"/>
      <w:bookmarkEnd w:id="2"/>
      <w:r w:rsidRPr="00982695">
        <w:rPr>
          <w:rFonts w:ascii="Times New Roman" w:eastAsia="Times New Roman" w:hAnsi="Times New Roman" w:cs="Times New Roman"/>
          <w:sz w:val="20"/>
          <w:szCs w:val="24"/>
          <w:lang w:eastAsia="ru-RU"/>
        </w:rPr>
        <w:t>Про затвердження Інструкції про звільнення від проходження державної підсумкової атестації учнів (вихованців) загальноосвітніх навчальних закладів за станом здоров’я</w:t>
      </w: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3" w:name="n5"/>
      <w:bookmarkEnd w:id="3"/>
      <w:r w:rsidRPr="00982695">
        <w:rPr>
          <w:rFonts w:ascii="Times New Roman" w:eastAsia="Times New Roman" w:hAnsi="Times New Roman" w:cs="Times New Roman"/>
          <w:sz w:val="20"/>
          <w:szCs w:val="24"/>
          <w:lang w:eastAsia="ru-RU"/>
        </w:rPr>
        <w:t xml:space="preserve">Відповідно до статті 34 </w:t>
      </w:r>
      <w:hyperlink r:id="rId5" w:tgtFrame="_blank" w:history="1">
        <w:r w:rsidRPr="00982695">
          <w:rPr>
            <w:rFonts w:ascii="Times New Roman" w:eastAsia="Times New Roman" w:hAnsi="Times New Roman" w:cs="Times New Roman"/>
            <w:color w:val="0000FF"/>
            <w:sz w:val="20"/>
            <w:szCs w:val="24"/>
            <w:u w:val="single"/>
            <w:lang w:eastAsia="ru-RU"/>
          </w:rPr>
          <w:t>Закону України «Про загальну середню освіту»</w:t>
        </w:r>
      </w:hyperlink>
      <w:r w:rsidRPr="00982695">
        <w:rPr>
          <w:rFonts w:ascii="Times New Roman" w:eastAsia="Times New Roman" w:hAnsi="Times New Roman" w:cs="Times New Roman"/>
          <w:sz w:val="20"/>
          <w:szCs w:val="24"/>
          <w:lang w:eastAsia="ru-RU"/>
        </w:rPr>
        <w:t xml:space="preserve">, абзацу другого пункту 56 </w:t>
      </w:r>
      <w:hyperlink r:id="rId6" w:tgtFrame="_blank" w:history="1">
        <w:r w:rsidRPr="00982695">
          <w:rPr>
            <w:rFonts w:ascii="Times New Roman" w:eastAsia="Times New Roman" w:hAnsi="Times New Roman" w:cs="Times New Roman"/>
            <w:color w:val="0000FF"/>
            <w:sz w:val="20"/>
            <w:szCs w:val="24"/>
            <w:u w:val="single"/>
            <w:lang w:eastAsia="ru-RU"/>
          </w:rPr>
          <w:t>Положення про загальноосвітній навчальний заклад</w:t>
        </w:r>
      </w:hyperlink>
      <w:r w:rsidRPr="00982695">
        <w:rPr>
          <w:rFonts w:ascii="Times New Roman" w:eastAsia="Times New Roman" w:hAnsi="Times New Roman" w:cs="Times New Roman"/>
          <w:sz w:val="20"/>
          <w:szCs w:val="24"/>
          <w:lang w:eastAsia="ru-RU"/>
        </w:rPr>
        <w:t>, затвердженого постановою Кабінету Міністрів України від 27 серпня 2010 року № 778, НАКАЗУЄМО:</w:t>
      </w: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4" w:name="n6"/>
      <w:bookmarkEnd w:id="4"/>
      <w:r w:rsidRPr="00982695">
        <w:rPr>
          <w:rFonts w:ascii="Times New Roman" w:eastAsia="Times New Roman" w:hAnsi="Times New Roman" w:cs="Times New Roman"/>
          <w:sz w:val="20"/>
          <w:szCs w:val="24"/>
          <w:lang w:eastAsia="ru-RU"/>
        </w:rPr>
        <w:t xml:space="preserve">1. Затвердити </w:t>
      </w:r>
      <w:hyperlink r:id="rId7" w:anchor="n17" w:history="1">
        <w:r w:rsidRPr="00982695">
          <w:rPr>
            <w:rFonts w:ascii="Times New Roman" w:eastAsia="Times New Roman" w:hAnsi="Times New Roman" w:cs="Times New Roman"/>
            <w:color w:val="0000FF"/>
            <w:sz w:val="20"/>
            <w:szCs w:val="24"/>
            <w:u w:val="single"/>
            <w:lang w:eastAsia="ru-RU"/>
          </w:rPr>
          <w:t>Інструкцію про звільнення від проходження державної підсумкової атестації учнів (вихованців) загальноосвітніх навчальних закладів за станом здоров’я</w:t>
        </w:r>
      </w:hyperlink>
      <w:r w:rsidRPr="00982695">
        <w:rPr>
          <w:rFonts w:ascii="Times New Roman" w:eastAsia="Times New Roman" w:hAnsi="Times New Roman" w:cs="Times New Roman"/>
          <w:sz w:val="20"/>
          <w:szCs w:val="24"/>
          <w:lang w:eastAsia="ru-RU"/>
        </w:rPr>
        <w:t>, що додається.</w:t>
      </w: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5" w:name="n7"/>
      <w:bookmarkEnd w:id="5"/>
      <w:r w:rsidRPr="00982695">
        <w:rPr>
          <w:rFonts w:ascii="Times New Roman" w:eastAsia="Times New Roman" w:hAnsi="Times New Roman" w:cs="Times New Roman"/>
          <w:sz w:val="20"/>
          <w:szCs w:val="24"/>
          <w:lang w:eastAsia="ru-RU"/>
        </w:rPr>
        <w:t>2. Департаменту загальної середньої та дошкільної освіти Міністерства освіти і науки, молоді та спорту України (Єресько О.В.) забезпечити подання цього наказу на державну реєстрацію до Міністерства юстиції України в установленому законодавством порядку.</w:t>
      </w: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6" w:name="n8"/>
      <w:bookmarkEnd w:id="6"/>
      <w:r w:rsidRPr="00982695">
        <w:rPr>
          <w:rFonts w:ascii="Times New Roman" w:eastAsia="Times New Roman" w:hAnsi="Times New Roman" w:cs="Times New Roman"/>
          <w:sz w:val="20"/>
          <w:szCs w:val="24"/>
          <w:lang w:eastAsia="ru-RU"/>
        </w:rPr>
        <w:t>3. Міністерству освіти і науки, молоді та спорту Автономної Республіки Крим, Міністерству охорони здоров’я Автономної Республіки Крим, обласним, міським, районним органам управління освітою та охороною здоров'я, керівникам загальноосвітніх навчальних закладів, закладів охорони здоров’я забезпечити дотримання вимог цієї Інструкції.</w:t>
      </w: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7" w:name="n9"/>
      <w:bookmarkEnd w:id="7"/>
      <w:r w:rsidRPr="00982695">
        <w:rPr>
          <w:rFonts w:ascii="Times New Roman" w:eastAsia="Times New Roman" w:hAnsi="Times New Roman" w:cs="Times New Roman"/>
          <w:sz w:val="20"/>
          <w:szCs w:val="24"/>
          <w:lang w:eastAsia="ru-RU"/>
        </w:rPr>
        <w:t xml:space="preserve">4. Визнати таким, що втратив чинність, </w:t>
      </w:r>
      <w:hyperlink r:id="rId8" w:tgtFrame="_blank" w:history="1">
        <w:r w:rsidRPr="00982695">
          <w:rPr>
            <w:rFonts w:ascii="Times New Roman" w:eastAsia="Times New Roman" w:hAnsi="Times New Roman" w:cs="Times New Roman"/>
            <w:color w:val="0000FF"/>
            <w:sz w:val="20"/>
            <w:szCs w:val="24"/>
            <w:u w:val="single"/>
            <w:lang w:eastAsia="ru-RU"/>
          </w:rPr>
          <w:t>наказ Міністерства освіти України, Міністерства охорони здоров'я України від 29 січня 1996 року № 25/20</w:t>
        </w:r>
      </w:hyperlink>
      <w:r w:rsidRPr="00982695">
        <w:rPr>
          <w:rFonts w:ascii="Times New Roman" w:eastAsia="Times New Roman" w:hAnsi="Times New Roman" w:cs="Times New Roman"/>
          <w:sz w:val="20"/>
          <w:szCs w:val="24"/>
          <w:lang w:eastAsia="ru-RU"/>
        </w:rPr>
        <w:t xml:space="preserve"> «Про затвердження Інструкції про звільнення від перевідних і випускних екзаменів учнів середніх загальноосвітніх навчально-виховних закладів України за станом здоров’я», зареєстрований в Міністерстві юстиції України 28 лютого 1996 року за № 98/1123.</w:t>
      </w: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8" w:name="n10"/>
      <w:bookmarkEnd w:id="8"/>
      <w:r w:rsidRPr="00982695">
        <w:rPr>
          <w:rFonts w:ascii="Times New Roman" w:eastAsia="Times New Roman" w:hAnsi="Times New Roman" w:cs="Times New Roman"/>
          <w:sz w:val="20"/>
          <w:szCs w:val="24"/>
          <w:lang w:eastAsia="ru-RU"/>
        </w:rPr>
        <w:t>5. Контроль за виконанням цього наказу покласти на заступника Міністра освіти і науки, молоді та спорту України Жебровського Б.М., заступника Міністра охорони здоров’я України Толстанова О.К.</w:t>
      </w: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9" w:name="n11"/>
      <w:bookmarkEnd w:id="9"/>
      <w:r w:rsidRPr="00982695">
        <w:rPr>
          <w:rFonts w:ascii="Times New Roman" w:eastAsia="Times New Roman" w:hAnsi="Times New Roman" w:cs="Times New Roman"/>
          <w:sz w:val="20"/>
          <w:szCs w:val="24"/>
          <w:lang w:eastAsia="ru-RU"/>
        </w:rPr>
        <w:t>6. Цей наказ набирає чинності з дня його офіційного опублікування.</w:t>
      </w:r>
    </w:p>
    <w:tbl>
      <w:tblPr>
        <w:tblW w:w="5000" w:type="pct"/>
        <w:tblCellSpacing w:w="0" w:type="dxa"/>
        <w:tblCellMar>
          <w:left w:w="0" w:type="dxa"/>
          <w:right w:w="0" w:type="dxa"/>
        </w:tblCellMar>
        <w:tblLook w:val="04A0" w:firstRow="1" w:lastRow="0" w:firstColumn="1" w:lastColumn="0" w:noHBand="0" w:noVBand="1"/>
      </w:tblPr>
      <w:tblGrid>
        <w:gridCol w:w="4286"/>
        <w:gridCol w:w="5919"/>
      </w:tblGrid>
      <w:tr w:rsidR="00EA434C" w:rsidRPr="00982695" w:rsidTr="00EA434C">
        <w:trPr>
          <w:tblCellSpacing w:w="0" w:type="dxa"/>
        </w:trPr>
        <w:tc>
          <w:tcPr>
            <w:tcW w:w="2100" w:type="pct"/>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10" w:name="n12"/>
            <w:bookmarkEnd w:id="10"/>
            <w:r w:rsidRPr="00982695">
              <w:rPr>
                <w:rFonts w:ascii="Times New Roman" w:eastAsia="Times New Roman" w:hAnsi="Times New Roman" w:cs="Times New Roman"/>
                <w:sz w:val="20"/>
                <w:szCs w:val="24"/>
                <w:lang w:eastAsia="ru-RU"/>
              </w:rPr>
              <w:t xml:space="preserve">Міністр освіти і науки, </w:t>
            </w:r>
            <w:r w:rsidRPr="00982695">
              <w:rPr>
                <w:rFonts w:ascii="Times New Roman" w:eastAsia="Times New Roman" w:hAnsi="Times New Roman" w:cs="Times New Roman"/>
                <w:sz w:val="20"/>
                <w:szCs w:val="24"/>
                <w:lang w:eastAsia="ru-RU"/>
              </w:rPr>
              <w:br/>
              <w:t>молоді та спорту України</w:t>
            </w:r>
          </w:p>
        </w:tc>
        <w:tc>
          <w:tcPr>
            <w:tcW w:w="3500" w:type="pct"/>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br/>
              <w:t>Д.В. Табачник</w:t>
            </w:r>
          </w:p>
        </w:tc>
      </w:tr>
      <w:tr w:rsidR="00EA434C" w:rsidRPr="00982695" w:rsidTr="00EA434C">
        <w:trPr>
          <w:tblCellSpacing w:w="0" w:type="dxa"/>
        </w:trPr>
        <w:tc>
          <w:tcPr>
            <w:tcW w:w="2100" w:type="pct"/>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11" w:name="n13"/>
            <w:bookmarkEnd w:id="11"/>
            <w:r w:rsidRPr="00982695">
              <w:rPr>
                <w:rFonts w:ascii="Times New Roman" w:eastAsia="Times New Roman" w:hAnsi="Times New Roman" w:cs="Times New Roman"/>
                <w:sz w:val="20"/>
                <w:szCs w:val="24"/>
                <w:lang w:eastAsia="ru-RU"/>
              </w:rPr>
              <w:t xml:space="preserve">Міністр охорони </w:t>
            </w:r>
            <w:r w:rsidRPr="00982695">
              <w:rPr>
                <w:rFonts w:ascii="Times New Roman" w:eastAsia="Times New Roman" w:hAnsi="Times New Roman" w:cs="Times New Roman"/>
                <w:sz w:val="20"/>
                <w:szCs w:val="24"/>
                <w:lang w:eastAsia="ru-RU"/>
              </w:rPr>
              <w:br/>
              <w:t>здоров’я України</w:t>
            </w:r>
          </w:p>
        </w:tc>
        <w:tc>
          <w:tcPr>
            <w:tcW w:w="3500" w:type="pct"/>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br/>
              <w:t>Р.В. Богатирьова</w:t>
            </w:r>
          </w:p>
        </w:tc>
      </w:tr>
    </w:tbl>
    <w:p w:rsidR="00EA434C" w:rsidRPr="00982695" w:rsidRDefault="00BD74C1" w:rsidP="00EA434C">
      <w:pPr>
        <w:spacing w:after="0" w:line="240" w:lineRule="auto"/>
        <w:rPr>
          <w:rFonts w:ascii="Times New Roman" w:eastAsia="Times New Roman" w:hAnsi="Times New Roman" w:cs="Times New Roman"/>
          <w:sz w:val="20"/>
          <w:szCs w:val="24"/>
          <w:lang w:eastAsia="ru-RU"/>
        </w:rPr>
      </w:pPr>
      <w:bookmarkStart w:id="12" w:name="n47"/>
      <w:bookmarkEnd w:id="12"/>
      <w:r>
        <w:rPr>
          <w:rFonts w:ascii="Times New Roman" w:eastAsia="Times New Roman" w:hAnsi="Times New Roman" w:cs="Times New Roman"/>
          <w:sz w:val="20"/>
          <w:szCs w:val="24"/>
          <w:lang w:eastAsia="ru-RU"/>
        </w:rPr>
        <w:pict>
          <v:rect id="_x0000_i1025" style="width:0;height:1.5pt" o:hralign="center" o:hrstd="t" o:hr="t" fillcolor="#a0a0a0" stroked="f"/>
        </w:pict>
      </w: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13" w:name="n46"/>
      <w:bookmarkEnd w:id="13"/>
    </w:p>
    <w:tbl>
      <w:tblPr>
        <w:tblW w:w="5000" w:type="pct"/>
        <w:tblCellSpacing w:w="0" w:type="dxa"/>
        <w:tblCellMar>
          <w:left w:w="0" w:type="dxa"/>
          <w:right w:w="0" w:type="dxa"/>
        </w:tblCellMar>
        <w:tblLook w:val="04A0" w:firstRow="1" w:lastRow="0" w:firstColumn="1" w:lastColumn="0" w:noHBand="0" w:noVBand="1"/>
      </w:tblPr>
      <w:tblGrid>
        <w:gridCol w:w="6123"/>
        <w:gridCol w:w="4082"/>
      </w:tblGrid>
      <w:tr w:rsidR="00EA434C" w:rsidRPr="00982695" w:rsidTr="00EA434C">
        <w:trPr>
          <w:tblCellSpacing w:w="0" w:type="dxa"/>
        </w:trPr>
        <w:tc>
          <w:tcPr>
            <w:tcW w:w="3000" w:type="pct"/>
            <w:hideMark/>
          </w:tcPr>
          <w:p w:rsidR="00982695" w:rsidRDefault="00982695" w:rsidP="00EA434C">
            <w:pPr>
              <w:spacing w:before="100" w:beforeAutospacing="1" w:after="100" w:afterAutospacing="1" w:line="240" w:lineRule="auto"/>
              <w:rPr>
                <w:rFonts w:ascii="Times New Roman" w:eastAsia="Times New Roman" w:hAnsi="Times New Roman" w:cs="Times New Roman"/>
                <w:sz w:val="20"/>
                <w:szCs w:val="24"/>
                <w:lang w:val="uk-UA" w:eastAsia="ru-RU"/>
              </w:rPr>
            </w:pPr>
            <w:bookmarkStart w:id="14" w:name="n15"/>
            <w:bookmarkEnd w:id="14"/>
          </w:p>
          <w:p w:rsidR="00EA434C" w:rsidRDefault="00EA434C" w:rsidP="00982695">
            <w:pPr>
              <w:rPr>
                <w:rFonts w:ascii="Times New Roman" w:eastAsia="Times New Roman" w:hAnsi="Times New Roman" w:cs="Times New Roman"/>
                <w:sz w:val="20"/>
                <w:szCs w:val="24"/>
                <w:lang w:val="uk-UA" w:eastAsia="ru-RU"/>
              </w:rPr>
            </w:pPr>
          </w:p>
          <w:p w:rsidR="00982695" w:rsidRDefault="00982695" w:rsidP="00982695">
            <w:pPr>
              <w:rPr>
                <w:rFonts w:ascii="Times New Roman" w:eastAsia="Times New Roman" w:hAnsi="Times New Roman" w:cs="Times New Roman"/>
                <w:sz w:val="20"/>
                <w:szCs w:val="24"/>
                <w:lang w:val="uk-UA" w:eastAsia="ru-RU"/>
              </w:rPr>
            </w:pPr>
          </w:p>
          <w:p w:rsidR="00982695" w:rsidRPr="00982695" w:rsidRDefault="00982695" w:rsidP="00982695">
            <w:pPr>
              <w:rPr>
                <w:rFonts w:ascii="Times New Roman" w:eastAsia="Times New Roman" w:hAnsi="Times New Roman" w:cs="Times New Roman"/>
                <w:sz w:val="20"/>
                <w:szCs w:val="24"/>
                <w:lang w:val="uk-UA" w:eastAsia="ru-RU"/>
              </w:rPr>
            </w:pPr>
          </w:p>
        </w:tc>
        <w:tc>
          <w:tcPr>
            <w:tcW w:w="2000" w:type="pct"/>
            <w:hideMark/>
          </w:tcPr>
          <w:p w:rsidR="00982695" w:rsidRPr="00982695" w:rsidRDefault="00982695" w:rsidP="00EA434C">
            <w:pPr>
              <w:spacing w:before="100" w:beforeAutospacing="1" w:after="100" w:afterAutospacing="1" w:line="240" w:lineRule="auto"/>
              <w:rPr>
                <w:rFonts w:ascii="Times New Roman" w:eastAsia="Times New Roman" w:hAnsi="Times New Roman" w:cs="Times New Roman"/>
                <w:sz w:val="20"/>
                <w:szCs w:val="24"/>
                <w:lang w:val="uk-UA" w:eastAsia="ru-RU"/>
              </w:rPr>
            </w:pPr>
          </w:p>
          <w:p w:rsidR="00982695" w:rsidRPr="00982695" w:rsidRDefault="00982695" w:rsidP="00EA434C">
            <w:pPr>
              <w:spacing w:before="100" w:beforeAutospacing="1" w:after="100" w:afterAutospacing="1" w:line="240" w:lineRule="auto"/>
              <w:rPr>
                <w:rFonts w:ascii="Times New Roman" w:eastAsia="Times New Roman" w:hAnsi="Times New Roman" w:cs="Times New Roman"/>
                <w:sz w:val="20"/>
                <w:szCs w:val="24"/>
                <w:lang w:val="uk-UA" w:eastAsia="ru-RU"/>
              </w:rPr>
            </w:pPr>
          </w:p>
          <w:p w:rsidR="00982695" w:rsidRDefault="00982695" w:rsidP="00EA434C">
            <w:pPr>
              <w:spacing w:before="100" w:beforeAutospacing="1" w:after="100" w:afterAutospacing="1" w:line="240" w:lineRule="auto"/>
              <w:rPr>
                <w:rFonts w:ascii="Times New Roman" w:eastAsia="Times New Roman" w:hAnsi="Times New Roman" w:cs="Times New Roman"/>
                <w:sz w:val="20"/>
                <w:szCs w:val="24"/>
                <w:lang w:val="uk-UA" w:eastAsia="ru-RU"/>
              </w:rPr>
            </w:pPr>
          </w:p>
          <w:p w:rsidR="00982695" w:rsidRDefault="00982695" w:rsidP="00EA434C">
            <w:pPr>
              <w:spacing w:before="100" w:beforeAutospacing="1" w:after="100" w:afterAutospacing="1" w:line="240" w:lineRule="auto"/>
              <w:rPr>
                <w:rFonts w:ascii="Times New Roman" w:eastAsia="Times New Roman" w:hAnsi="Times New Roman" w:cs="Times New Roman"/>
                <w:sz w:val="20"/>
                <w:szCs w:val="24"/>
                <w:lang w:val="uk-UA" w:eastAsia="ru-RU"/>
              </w:rPr>
            </w:pPr>
          </w:p>
          <w:p w:rsidR="00982695" w:rsidRDefault="00982695" w:rsidP="00EA434C">
            <w:pPr>
              <w:spacing w:before="100" w:beforeAutospacing="1" w:after="100" w:afterAutospacing="1" w:line="240" w:lineRule="auto"/>
              <w:rPr>
                <w:rFonts w:ascii="Times New Roman" w:eastAsia="Times New Roman" w:hAnsi="Times New Roman" w:cs="Times New Roman"/>
                <w:sz w:val="20"/>
                <w:szCs w:val="24"/>
                <w:lang w:val="uk-UA" w:eastAsia="ru-RU"/>
              </w:rPr>
            </w:pPr>
          </w:p>
          <w:p w:rsidR="00982695" w:rsidRDefault="00982695" w:rsidP="00EA434C">
            <w:pPr>
              <w:spacing w:before="100" w:beforeAutospacing="1" w:after="100" w:afterAutospacing="1" w:line="240" w:lineRule="auto"/>
              <w:rPr>
                <w:rFonts w:ascii="Times New Roman" w:eastAsia="Times New Roman" w:hAnsi="Times New Roman" w:cs="Times New Roman"/>
                <w:sz w:val="20"/>
                <w:szCs w:val="24"/>
                <w:lang w:val="uk-UA" w:eastAsia="ru-RU"/>
              </w:rPr>
            </w:pPr>
          </w:p>
          <w:p w:rsidR="00982695" w:rsidRDefault="00982695" w:rsidP="00EA434C">
            <w:pPr>
              <w:spacing w:before="100" w:beforeAutospacing="1" w:after="100" w:afterAutospacing="1" w:line="240" w:lineRule="auto"/>
              <w:rPr>
                <w:rFonts w:ascii="Times New Roman" w:eastAsia="Times New Roman" w:hAnsi="Times New Roman" w:cs="Times New Roman"/>
                <w:sz w:val="20"/>
                <w:szCs w:val="24"/>
                <w:lang w:val="uk-UA" w:eastAsia="ru-RU"/>
              </w:rPr>
            </w:pPr>
          </w:p>
          <w:p w:rsidR="00982695" w:rsidRDefault="00982695" w:rsidP="00EA434C">
            <w:pPr>
              <w:spacing w:before="100" w:beforeAutospacing="1" w:after="100" w:afterAutospacing="1" w:line="240" w:lineRule="auto"/>
              <w:rPr>
                <w:rFonts w:ascii="Times New Roman" w:eastAsia="Times New Roman" w:hAnsi="Times New Roman" w:cs="Times New Roman"/>
                <w:sz w:val="20"/>
                <w:szCs w:val="24"/>
                <w:lang w:val="uk-UA" w:eastAsia="ru-RU"/>
              </w:rPr>
            </w:pPr>
          </w:p>
          <w:p w:rsidR="00982695" w:rsidRPr="00982695" w:rsidRDefault="00982695" w:rsidP="00EA434C">
            <w:pPr>
              <w:spacing w:before="100" w:beforeAutospacing="1" w:after="100" w:afterAutospacing="1" w:line="240" w:lineRule="auto"/>
              <w:rPr>
                <w:rFonts w:ascii="Times New Roman" w:eastAsia="Times New Roman" w:hAnsi="Times New Roman" w:cs="Times New Roman"/>
                <w:sz w:val="20"/>
                <w:szCs w:val="24"/>
                <w:lang w:val="uk-UA" w:eastAsia="ru-RU"/>
              </w:rPr>
            </w:pP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16"/>
                <w:szCs w:val="24"/>
                <w:lang w:eastAsia="ru-RU"/>
              </w:rPr>
              <w:t xml:space="preserve">ЗАТВЕРДЖЕНО </w:t>
            </w:r>
            <w:r w:rsidRPr="00982695">
              <w:rPr>
                <w:rFonts w:ascii="Times New Roman" w:eastAsia="Times New Roman" w:hAnsi="Times New Roman" w:cs="Times New Roman"/>
                <w:sz w:val="16"/>
                <w:szCs w:val="24"/>
                <w:lang w:eastAsia="ru-RU"/>
              </w:rPr>
              <w:br/>
              <w:t xml:space="preserve">Наказ Міністерства </w:t>
            </w:r>
            <w:r w:rsidRPr="00982695">
              <w:rPr>
                <w:rFonts w:ascii="Times New Roman" w:eastAsia="Times New Roman" w:hAnsi="Times New Roman" w:cs="Times New Roman"/>
                <w:sz w:val="16"/>
                <w:szCs w:val="24"/>
                <w:lang w:eastAsia="ru-RU"/>
              </w:rPr>
              <w:br/>
              <w:t xml:space="preserve">освіти і науки, молоді </w:t>
            </w:r>
            <w:r w:rsidRPr="00982695">
              <w:rPr>
                <w:rFonts w:ascii="Times New Roman" w:eastAsia="Times New Roman" w:hAnsi="Times New Roman" w:cs="Times New Roman"/>
                <w:sz w:val="16"/>
                <w:szCs w:val="24"/>
                <w:lang w:eastAsia="ru-RU"/>
              </w:rPr>
              <w:br/>
              <w:t xml:space="preserve">та спорту України, </w:t>
            </w:r>
            <w:r w:rsidRPr="00982695">
              <w:rPr>
                <w:rFonts w:ascii="Times New Roman" w:eastAsia="Times New Roman" w:hAnsi="Times New Roman" w:cs="Times New Roman"/>
                <w:sz w:val="16"/>
                <w:szCs w:val="24"/>
                <w:lang w:eastAsia="ru-RU"/>
              </w:rPr>
              <w:br/>
              <w:t xml:space="preserve">Міністерства охорони </w:t>
            </w:r>
            <w:r w:rsidRPr="00982695">
              <w:rPr>
                <w:rFonts w:ascii="Times New Roman" w:eastAsia="Times New Roman" w:hAnsi="Times New Roman" w:cs="Times New Roman"/>
                <w:sz w:val="16"/>
                <w:szCs w:val="24"/>
                <w:lang w:eastAsia="ru-RU"/>
              </w:rPr>
              <w:br/>
              <w:t xml:space="preserve">здоров'я України </w:t>
            </w:r>
            <w:r w:rsidRPr="00982695">
              <w:rPr>
                <w:rFonts w:ascii="Times New Roman" w:eastAsia="Times New Roman" w:hAnsi="Times New Roman" w:cs="Times New Roman"/>
                <w:sz w:val="16"/>
                <w:szCs w:val="24"/>
                <w:lang w:eastAsia="ru-RU"/>
              </w:rPr>
              <w:br/>
              <w:t>01.02.2013  № 72/78</w:t>
            </w:r>
          </w:p>
        </w:tc>
      </w:tr>
    </w:tbl>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15" w:name="n16"/>
      <w:bookmarkStart w:id="16" w:name="n17"/>
      <w:bookmarkEnd w:id="15"/>
      <w:bookmarkEnd w:id="16"/>
      <w:r w:rsidRPr="00982695">
        <w:rPr>
          <w:rFonts w:ascii="Times New Roman" w:eastAsia="Times New Roman" w:hAnsi="Times New Roman" w:cs="Times New Roman"/>
          <w:sz w:val="20"/>
          <w:szCs w:val="24"/>
          <w:lang w:eastAsia="ru-RU"/>
        </w:rPr>
        <w:lastRenderedPageBreak/>
        <w:t xml:space="preserve">ІНСТРУКЦІЯ </w:t>
      </w:r>
      <w:r w:rsidRPr="00982695">
        <w:rPr>
          <w:rFonts w:ascii="Times New Roman" w:eastAsia="Times New Roman" w:hAnsi="Times New Roman" w:cs="Times New Roman"/>
          <w:sz w:val="20"/>
          <w:szCs w:val="24"/>
          <w:lang w:eastAsia="ru-RU"/>
        </w:rPr>
        <w:br/>
        <w:t>про звільнення від проходження державної підсумкової атестації учнів (вихованців) загальноосвітніх навчальних закладів за станом здоров’я</w:t>
      </w: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17" w:name="n18"/>
      <w:bookmarkEnd w:id="17"/>
      <w:r w:rsidRPr="00982695">
        <w:rPr>
          <w:rFonts w:ascii="Times New Roman" w:eastAsia="Times New Roman" w:hAnsi="Times New Roman" w:cs="Times New Roman"/>
          <w:sz w:val="20"/>
          <w:szCs w:val="24"/>
          <w:lang w:eastAsia="ru-RU"/>
        </w:rPr>
        <w:t xml:space="preserve">1. Ця Інструкція розроблена відповідно до </w:t>
      </w:r>
      <w:hyperlink r:id="rId9" w:tgtFrame="_blank" w:history="1">
        <w:r w:rsidRPr="00982695">
          <w:rPr>
            <w:rFonts w:ascii="Times New Roman" w:eastAsia="Times New Roman" w:hAnsi="Times New Roman" w:cs="Times New Roman"/>
            <w:color w:val="0000FF"/>
            <w:sz w:val="20"/>
            <w:szCs w:val="24"/>
            <w:u w:val="single"/>
            <w:lang w:eastAsia="ru-RU"/>
          </w:rPr>
          <w:t>Закону України «Про загальну середню освіту»</w:t>
        </w:r>
      </w:hyperlink>
      <w:r w:rsidRPr="00982695">
        <w:rPr>
          <w:rFonts w:ascii="Times New Roman" w:eastAsia="Times New Roman" w:hAnsi="Times New Roman" w:cs="Times New Roman"/>
          <w:sz w:val="20"/>
          <w:szCs w:val="24"/>
          <w:lang w:eastAsia="ru-RU"/>
        </w:rPr>
        <w:t xml:space="preserve">, </w:t>
      </w:r>
      <w:hyperlink r:id="rId10" w:tgtFrame="_blank" w:history="1">
        <w:r w:rsidRPr="00982695">
          <w:rPr>
            <w:rFonts w:ascii="Times New Roman" w:eastAsia="Times New Roman" w:hAnsi="Times New Roman" w:cs="Times New Roman"/>
            <w:color w:val="0000FF"/>
            <w:sz w:val="20"/>
            <w:szCs w:val="24"/>
            <w:u w:val="single"/>
            <w:lang w:eastAsia="ru-RU"/>
          </w:rPr>
          <w:t>Положення про загальноосвітній навчальний заклад</w:t>
        </w:r>
      </w:hyperlink>
      <w:r w:rsidRPr="00982695">
        <w:rPr>
          <w:rFonts w:ascii="Times New Roman" w:eastAsia="Times New Roman" w:hAnsi="Times New Roman" w:cs="Times New Roman"/>
          <w:sz w:val="20"/>
          <w:szCs w:val="24"/>
          <w:lang w:eastAsia="ru-RU"/>
        </w:rPr>
        <w:t xml:space="preserve">, затвердженого постановою Кабінету Міністрів України від 27 серпня 2010 року № 778, </w:t>
      </w:r>
      <w:hyperlink r:id="rId11" w:tgtFrame="_blank" w:history="1">
        <w:r w:rsidRPr="00982695">
          <w:rPr>
            <w:rFonts w:ascii="Times New Roman" w:eastAsia="Times New Roman" w:hAnsi="Times New Roman" w:cs="Times New Roman"/>
            <w:color w:val="0000FF"/>
            <w:sz w:val="20"/>
            <w:szCs w:val="24"/>
            <w:u w:val="single"/>
            <w:lang w:eastAsia="ru-RU"/>
          </w:rPr>
          <w:t>Положення про державну підсумкову атестацію учнів (вихованців) у системі загальної середньої освіти</w:t>
        </w:r>
      </w:hyperlink>
      <w:r w:rsidRPr="00982695">
        <w:rPr>
          <w:rFonts w:ascii="Times New Roman" w:eastAsia="Times New Roman" w:hAnsi="Times New Roman" w:cs="Times New Roman"/>
          <w:sz w:val="20"/>
          <w:szCs w:val="24"/>
          <w:lang w:eastAsia="ru-RU"/>
        </w:rPr>
        <w:t xml:space="preserve">, затвердженого наказом Міністерства освіти і науки України від 18 лютого 2008 року № 94, зареєстрованого в Міністерстві юстиції України 27 лютого 2008 року за № 151/14842 (у редакції наказу Міністерства освіти і науки України від 21 грудня 2009 року № 1151), </w:t>
      </w:r>
      <w:hyperlink r:id="rId12" w:tgtFrame="_blank" w:history="1">
        <w:r w:rsidRPr="00982695">
          <w:rPr>
            <w:rFonts w:ascii="Times New Roman" w:eastAsia="Times New Roman" w:hAnsi="Times New Roman" w:cs="Times New Roman"/>
            <w:color w:val="0000FF"/>
            <w:sz w:val="20"/>
            <w:szCs w:val="24"/>
            <w:u w:val="single"/>
            <w:lang w:eastAsia="ru-RU"/>
          </w:rPr>
          <w:t>Інструкції про переведення та випуск учнів (вихованців) навчальних закладів системи загальної середньої освіти</w:t>
        </w:r>
      </w:hyperlink>
      <w:r w:rsidRPr="00982695">
        <w:rPr>
          <w:rFonts w:ascii="Times New Roman" w:eastAsia="Times New Roman" w:hAnsi="Times New Roman" w:cs="Times New Roman"/>
          <w:sz w:val="20"/>
          <w:szCs w:val="24"/>
          <w:lang w:eastAsia="ru-RU"/>
        </w:rPr>
        <w:t>, затвердженої наказом Міністерства освіти і науки України від 14 квітня 2008 року № 319, зареєстрованої в Міністерстві юстиції України 06 травня 2008 року за № 383/15074.</w:t>
      </w: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18" w:name="n19"/>
      <w:bookmarkEnd w:id="18"/>
      <w:r w:rsidRPr="00982695">
        <w:rPr>
          <w:rFonts w:ascii="Times New Roman" w:eastAsia="Times New Roman" w:hAnsi="Times New Roman" w:cs="Times New Roman"/>
          <w:sz w:val="20"/>
          <w:szCs w:val="24"/>
          <w:lang w:eastAsia="ru-RU"/>
        </w:rPr>
        <w:t xml:space="preserve">2. Інструкція визначає підстави та порядок звільнення учнів (вихованців) загальноосвітніх навчальних закладів від проходження державної підсумкової атестації за станом здоров'я згідно із </w:t>
      </w:r>
      <w:hyperlink r:id="rId13" w:anchor="n42" w:history="1">
        <w:r w:rsidRPr="00982695">
          <w:rPr>
            <w:rFonts w:ascii="Times New Roman" w:eastAsia="Times New Roman" w:hAnsi="Times New Roman" w:cs="Times New Roman"/>
            <w:color w:val="0000FF"/>
            <w:sz w:val="20"/>
            <w:szCs w:val="24"/>
            <w:u w:val="single"/>
            <w:lang w:eastAsia="ru-RU"/>
          </w:rPr>
          <w:t>Переліком захворювань, що можуть бути підставою для звільнення учнів (вихованців) загальноосвітніх навчальних закладів від проходження державної підсумкової атестації за станом здоров’я</w:t>
        </w:r>
      </w:hyperlink>
      <w:r w:rsidRPr="00982695">
        <w:rPr>
          <w:rFonts w:ascii="Times New Roman" w:eastAsia="Times New Roman" w:hAnsi="Times New Roman" w:cs="Times New Roman"/>
          <w:sz w:val="20"/>
          <w:szCs w:val="24"/>
          <w:lang w:eastAsia="ru-RU"/>
        </w:rPr>
        <w:t>, зазначеним у додатку (далі - перелік захворювань).</w:t>
      </w: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19" w:name="n20"/>
      <w:bookmarkEnd w:id="19"/>
      <w:r w:rsidRPr="00982695">
        <w:rPr>
          <w:rFonts w:ascii="Times New Roman" w:eastAsia="Times New Roman" w:hAnsi="Times New Roman" w:cs="Times New Roman"/>
          <w:sz w:val="20"/>
          <w:szCs w:val="24"/>
          <w:lang w:eastAsia="ru-RU"/>
        </w:rPr>
        <w:t>3. Від проходження державної підсумкової атестації звільняються:</w:t>
      </w: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20" w:name="n21"/>
      <w:bookmarkEnd w:id="20"/>
      <w:r w:rsidRPr="00982695">
        <w:rPr>
          <w:rFonts w:ascii="Times New Roman" w:eastAsia="Times New Roman" w:hAnsi="Times New Roman" w:cs="Times New Roman"/>
          <w:sz w:val="20"/>
          <w:szCs w:val="24"/>
          <w:lang w:eastAsia="ru-RU"/>
        </w:rPr>
        <w:t>3.1. Учні (вихованці) загальноосвітніх навчальних закладів за наявності захворювань, визначених переліком захворювань.</w:t>
      </w: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21" w:name="n22"/>
      <w:bookmarkEnd w:id="21"/>
      <w:r w:rsidRPr="00982695">
        <w:rPr>
          <w:rFonts w:ascii="Times New Roman" w:eastAsia="Times New Roman" w:hAnsi="Times New Roman" w:cs="Times New Roman"/>
          <w:sz w:val="20"/>
          <w:szCs w:val="24"/>
          <w:lang w:eastAsia="ru-RU"/>
        </w:rPr>
        <w:t>3.2. Учні (вихованці) загальноосвітніх навчальних закладів, які перебувають у соціальних відпустках відповідно до статей 17-18</w:t>
      </w:r>
      <w:r w:rsidRPr="00EA434C">
        <w:rPr>
          <w:rFonts w:ascii="Times New Roman" w:eastAsia="Times New Roman" w:hAnsi="Times New Roman" w:cs="Times New Roman"/>
          <w:sz w:val="2"/>
          <w:szCs w:val="2"/>
          <w:lang w:eastAsia="ru-RU"/>
        </w:rPr>
        <w:t>-</w:t>
      </w:r>
      <w:r w:rsidRPr="00982695">
        <w:rPr>
          <w:rFonts w:ascii="Times New Roman" w:eastAsia="Times New Roman" w:hAnsi="Times New Roman" w:cs="Times New Roman"/>
          <w:sz w:val="20"/>
          <w:szCs w:val="24"/>
          <w:lang w:eastAsia="ru-RU"/>
        </w:rPr>
        <w:t xml:space="preserve">1 </w:t>
      </w:r>
      <w:hyperlink r:id="rId14" w:tgtFrame="_blank" w:history="1">
        <w:r w:rsidRPr="00982695">
          <w:rPr>
            <w:rFonts w:ascii="Times New Roman" w:eastAsia="Times New Roman" w:hAnsi="Times New Roman" w:cs="Times New Roman"/>
            <w:color w:val="0000FF"/>
            <w:sz w:val="20"/>
            <w:szCs w:val="24"/>
            <w:u w:val="single"/>
            <w:lang w:eastAsia="ru-RU"/>
          </w:rPr>
          <w:t>Закону України «Про відпустки»</w:t>
        </w:r>
      </w:hyperlink>
      <w:r w:rsidRPr="00982695">
        <w:rPr>
          <w:rFonts w:ascii="Times New Roman" w:eastAsia="Times New Roman" w:hAnsi="Times New Roman" w:cs="Times New Roman"/>
          <w:sz w:val="20"/>
          <w:szCs w:val="24"/>
          <w:lang w:eastAsia="ru-RU"/>
        </w:rPr>
        <w:t>.</w:t>
      </w: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22" w:name="n23"/>
      <w:bookmarkEnd w:id="22"/>
      <w:r w:rsidRPr="00982695">
        <w:rPr>
          <w:rFonts w:ascii="Times New Roman" w:eastAsia="Times New Roman" w:hAnsi="Times New Roman" w:cs="Times New Roman"/>
          <w:sz w:val="20"/>
          <w:szCs w:val="24"/>
          <w:lang w:eastAsia="ru-RU"/>
        </w:rPr>
        <w:t>4. Учням (вихованцям), які за станом здоров'я можуть бути звільнені від проходження державної підсумкової атестації, необхідно подати за місцем навчання такі документи:</w:t>
      </w: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23" w:name="n24"/>
      <w:bookmarkEnd w:id="23"/>
      <w:r w:rsidRPr="00982695">
        <w:rPr>
          <w:rFonts w:ascii="Times New Roman" w:eastAsia="Times New Roman" w:hAnsi="Times New Roman" w:cs="Times New Roman"/>
          <w:sz w:val="20"/>
          <w:szCs w:val="24"/>
          <w:lang w:eastAsia="ru-RU"/>
        </w:rPr>
        <w:t>заяву батьків, одного із батьків або їх законних представників;</w:t>
      </w: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24" w:name="n25"/>
      <w:bookmarkEnd w:id="24"/>
      <w:r w:rsidRPr="00982695">
        <w:rPr>
          <w:rFonts w:ascii="Times New Roman" w:eastAsia="Times New Roman" w:hAnsi="Times New Roman" w:cs="Times New Roman"/>
          <w:sz w:val="20"/>
          <w:szCs w:val="24"/>
          <w:lang w:eastAsia="ru-RU"/>
        </w:rPr>
        <w:t>висновок лікарсько-консультаційної комісії (далі - ЛКК) закладу охорони здоров’я за місцем спостереження дитини, засвідчений печаткою відповідного закладу охорони здоров'я.</w:t>
      </w: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25" w:name="n26"/>
      <w:bookmarkEnd w:id="25"/>
      <w:r w:rsidRPr="00982695">
        <w:rPr>
          <w:rFonts w:ascii="Times New Roman" w:eastAsia="Times New Roman" w:hAnsi="Times New Roman" w:cs="Times New Roman"/>
          <w:sz w:val="20"/>
          <w:szCs w:val="24"/>
          <w:lang w:eastAsia="ru-RU"/>
        </w:rPr>
        <w:t>4.1. Учні (вихованці) загальноосвітніх навчальних закладів, які перебувають у соціальних відпустках відповідно до статей 17-18</w:t>
      </w:r>
      <w:r w:rsidRPr="00EA434C">
        <w:rPr>
          <w:rFonts w:ascii="Times New Roman" w:eastAsia="Times New Roman" w:hAnsi="Times New Roman" w:cs="Times New Roman"/>
          <w:sz w:val="2"/>
          <w:szCs w:val="2"/>
          <w:lang w:eastAsia="ru-RU"/>
        </w:rPr>
        <w:t>-</w:t>
      </w:r>
      <w:r w:rsidRPr="00982695">
        <w:rPr>
          <w:rFonts w:ascii="Times New Roman" w:eastAsia="Times New Roman" w:hAnsi="Times New Roman" w:cs="Times New Roman"/>
          <w:sz w:val="20"/>
          <w:szCs w:val="24"/>
          <w:lang w:eastAsia="ru-RU"/>
        </w:rPr>
        <w:t xml:space="preserve">1 </w:t>
      </w:r>
      <w:hyperlink r:id="rId15" w:tgtFrame="_blank" w:history="1">
        <w:r w:rsidRPr="00982695">
          <w:rPr>
            <w:rFonts w:ascii="Times New Roman" w:eastAsia="Times New Roman" w:hAnsi="Times New Roman" w:cs="Times New Roman"/>
            <w:color w:val="0000FF"/>
            <w:sz w:val="20"/>
            <w:szCs w:val="24"/>
            <w:u w:val="single"/>
            <w:lang w:eastAsia="ru-RU"/>
          </w:rPr>
          <w:t>Закону України «Про відпустки»</w:t>
        </w:r>
      </w:hyperlink>
      <w:r w:rsidRPr="00982695">
        <w:rPr>
          <w:rFonts w:ascii="Times New Roman" w:eastAsia="Times New Roman" w:hAnsi="Times New Roman" w:cs="Times New Roman"/>
          <w:sz w:val="20"/>
          <w:szCs w:val="24"/>
          <w:lang w:eastAsia="ru-RU"/>
        </w:rPr>
        <w:t>, необхідно додатково подати за місцем навчання такі документи:</w:t>
      </w: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26" w:name="n27"/>
      <w:bookmarkEnd w:id="26"/>
      <w:r w:rsidRPr="00982695">
        <w:rPr>
          <w:rFonts w:ascii="Times New Roman" w:eastAsia="Times New Roman" w:hAnsi="Times New Roman" w:cs="Times New Roman"/>
          <w:sz w:val="20"/>
          <w:szCs w:val="24"/>
          <w:lang w:eastAsia="ru-RU"/>
        </w:rPr>
        <w:t>довідку (довільної форми), видану жіночою консультацією для жінок, які перебувають у відпустці у зв'язку з вагітністю та пологами;</w:t>
      </w: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27" w:name="n28"/>
      <w:bookmarkEnd w:id="27"/>
      <w:r w:rsidRPr="00982695">
        <w:rPr>
          <w:rFonts w:ascii="Times New Roman" w:eastAsia="Times New Roman" w:hAnsi="Times New Roman" w:cs="Times New Roman"/>
          <w:sz w:val="20"/>
          <w:szCs w:val="24"/>
          <w:lang w:eastAsia="ru-RU"/>
        </w:rPr>
        <w:t>заяву учнів (вихованців) (у разі досягнення повноліття), які перебувають у відпустці для догляду за дитиною.</w:t>
      </w: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28" w:name="n29"/>
      <w:bookmarkEnd w:id="28"/>
      <w:r w:rsidRPr="00982695">
        <w:rPr>
          <w:rFonts w:ascii="Times New Roman" w:eastAsia="Times New Roman" w:hAnsi="Times New Roman" w:cs="Times New Roman"/>
          <w:sz w:val="20"/>
          <w:szCs w:val="24"/>
          <w:lang w:eastAsia="ru-RU"/>
        </w:rPr>
        <w:t>5. Інформація про захворювання, яке дає можливість звільнення учнів (вихованців) від проходження державної підсумкової атестації, має бути зафіксована лікуючим лікарем в одній з форм первинної облікової документації:</w:t>
      </w:r>
    </w:p>
    <w:bookmarkStart w:id="29" w:name="n30"/>
    <w:bookmarkEnd w:id="29"/>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fldChar w:fldCharType="begin"/>
      </w:r>
      <w:r w:rsidRPr="00982695">
        <w:rPr>
          <w:rFonts w:ascii="Times New Roman" w:eastAsia="Times New Roman" w:hAnsi="Times New Roman" w:cs="Times New Roman"/>
          <w:sz w:val="20"/>
          <w:szCs w:val="24"/>
          <w:lang w:eastAsia="ru-RU"/>
        </w:rPr>
        <w:instrText xml:space="preserve"> HYPERLINK "https://zakon.rada.gov.ua/laws/show/va302282-99" \t "_blank" </w:instrText>
      </w:r>
      <w:r w:rsidRPr="00982695">
        <w:rPr>
          <w:rFonts w:ascii="Times New Roman" w:eastAsia="Times New Roman" w:hAnsi="Times New Roman" w:cs="Times New Roman"/>
          <w:sz w:val="20"/>
          <w:szCs w:val="24"/>
          <w:lang w:eastAsia="ru-RU"/>
        </w:rPr>
        <w:fldChar w:fldCharType="separate"/>
      </w:r>
      <w:r w:rsidRPr="00982695">
        <w:rPr>
          <w:rFonts w:ascii="Times New Roman" w:eastAsia="Times New Roman" w:hAnsi="Times New Roman" w:cs="Times New Roman"/>
          <w:color w:val="0000FF"/>
          <w:sz w:val="20"/>
          <w:szCs w:val="24"/>
          <w:u w:val="single"/>
          <w:lang w:eastAsia="ru-RU"/>
        </w:rPr>
        <w:t>№ 026/о «Медична карта дитини (для школи, школи-інтернату, школи-ліцею, дитячого будинку, дитячого садку)»</w:t>
      </w:r>
      <w:r w:rsidRPr="00982695">
        <w:rPr>
          <w:rFonts w:ascii="Times New Roman" w:eastAsia="Times New Roman" w:hAnsi="Times New Roman" w:cs="Times New Roman"/>
          <w:sz w:val="20"/>
          <w:szCs w:val="24"/>
          <w:lang w:eastAsia="ru-RU"/>
        </w:rPr>
        <w:fldChar w:fldCharType="end"/>
      </w:r>
      <w:r w:rsidRPr="00982695">
        <w:rPr>
          <w:rFonts w:ascii="Times New Roman" w:eastAsia="Times New Roman" w:hAnsi="Times New Roman" w:cs="Times New Roman"/>
          <w:sz w:val="20"/>
          <w:szCs w:val="24"/>
          <w:lang w:eastAsia="ru-RU"/>
        </w:rPr>
        <w:t xml:space="preserve">, затверджена </w:t>
      </w:r>
      <w:hyperlink r:id="rId16" w:tgtFrame="_blank" w:history="1">
        <w:r w:rsidRPr="00982695">
          <w:rPr>
            <w:rFonts w:ascii="Times New Roman" w:eastAsia="Times New Roman" w:hAnsi="Times New Roman" w:cs="Times New Roman"/>
            <w:color w:val="0000FF"/>
            <w:sz w:val="20"/>
            <w:szCs w:val="24"/>
            <w:u w:val="single"/>
            <w:lang w:eastAsia="ru-RU"/>
          </w:rPr>
          <w:t>наказом Міністерства охорони здоров’я України від 27 грудня 1999 року № 302</w:t>
        </w:r>
      </w:hyperlink>
      <w:r w:rsidRPr="00982695">
        <w:rPr>
          <w:rFonts w:ascii="Times New Roman" w:eastAsia="Times New Roman" w:hAnsi="Times New Roman" w:cs="Times New Roman"/>
          <w:sz w:val="20"/>
          <w:szCs w:val="24"/>
          <w:lang w:eastAsia="ru-RU"/>
        </w:rPr>
        <w:t>;</w:t>
      </w:r>
    </w:p>
    <w:bookmarkStart w:id="30" w:name="n31"/>
    <w:bookmarkEnd w:id="30"/>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fldChar w:fldCharType="begin"/>
      </w:r>
      <w:r w:rsidRPr="00982695">
        <w:rPr>
          <w:rFonts w:ascii="Times New Roman" w:eastAsia="Times New Roman" w:hAnsi="Times New Roman" w:cs="Times New Roman"/>
          <w:sz w:val="20"/>
          <w:szCs w:val="24"/>
          <w:lang w:eastAsia="ru-RU"/>
        </w:rPr>
        <w:instrText xml:space="preserve"> HYPERLINK "https://zakon.rada.gov.ua/laws/show/va302282-99" \t "_blank" </w:instrText>
      </w:r>
      <w:r w:rsidRPr="00982695">
        <w:rPr>
          <w:rFonts w:ascii="Times New Roman" w:eastAsia="Times New Roman" w:hAnsi="Times New Roman" w:cs="Times New Roman"/>
          <w:sz w:val="20"/>
          <w:szCs w:val="24"/>
          <w:lang w:eastAsia="ru-RU"/>
        </w:rPr>
        <w:fldChar w:fldCharType="separate"/>
      </w:r>
      <w:r w:rsidRPr="00982695">
        <w:rPr>
          <w:rFonts w:ascii="Times New Roman" w:eastAsia="Times New Roman" w:hAnsi="Times New Roman" w:cs="Times New Roman"/>
          <w:color w:val="0000FF"/>
          <w:sz w:val="20"/>
          <w:szCs w:val="24"/>
          <w:u w:val="single"/>
          <w:lang w:eastAsia="ru-RU"/>
        </w:rPr>
        <w:t>№ 112/о «Історія розвитку дитини»</w:t>
      </w:r>
      <w:r w:rsidRPr="00982695">
        <w:rPr>
          <w:rFonts w:ascii="Times New Roman" w:eastAsia="Times New Roman" w:hAnsi="Times New Roman" w:cs="Times New Roman"/>
          <w:sz w:val="20"/>
          <w:szCs w:val="24"/>
          <w:lang w:eastAsia="ru-RU"/>
        </w:rPr>
        <w:fldChar w:fldCharType="end"/>
      </w:r>
      <w:r w:rsidRPr="00982695">
        <w:rPr>
          <w:rFonts w:ascii="Times New Roman" w:eastAsia="Times New Roman" w:hAnsi="Times New Roman" w:cs="Times New Roman"/>
          <w:sz w:val="20"/>
          <w:szCs w:val="24"/>
          <w:lang w:eastAsia="ru-RU"/>
        </w:rPr>
        <w:t xml:space="preserve">, затверджена </w:t>
      </w:r>
      <w:hyperlink r:id="rId17" w:tgtFrame="_blank" w:history="1">
        <w:r w:rsidRPr="00982695">
          <w:rPr>
            <w:rFonts w:ascii="Times New Roman" w:eastAsia="Times New Roman" w:hAnsi="Times New Roman" w:cs="Times New Roman"/>
            <w:color w:val="0000FF"/>
            <w:sz w:val="20"/>
            <w:szCs w:val="24"/>
            <w:u w:val="single"/>
            <w:lang w:eastAsia="ru-RU"/>
          </w:rPr>
          <w:t>наказом Міністерства охорони здоров’я України від 27 грудня 1999 року № 302</w:t>
        </w:r>
      </w:hyperlink>
      <w:r w:rsidRPr="00982695">
        <w:rPr>
          <w:rFonts w:ascii="Times New Roman" w:eastAsia="Times New Roman" w:hAnsi="Times New Roman" w:cs="Times New Roman"/>
          <w:sz w:val="20"/>
          <w:szCs w:val="24"/>
          <w:lang w:eastAsia="ru-RU"/>
        </w:rPr>
        <w:t>;</w:t>
      </w:r>
    </w:p>
    <w:bookmarkStart w:id="31" w:name="n32"/>
    <w:bookmarkEnd w:id="31"/>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fldChar w:fldCharType="begin"/>
      </w:r>
      <w:r w:rsidRPr="00982695">
        <w:rPr>
          <w:rFonts w:ascii="Times New Roman" w:eastAsia="Times New Roman" w:hAnsi="Times New Roman" w:cs="Times New Roman"/>
          <w:sz w:val="20"/>
          <w:szCs w:val="24"/>
          <w:lang w:eastAsia="ru-RU"/>
        </w:rPr>
        <w:instrText xml:space="preserve"> HYPERLINK "https://zakon.rada.gov.ua/laws/show/z0669-12" \l "n3" \t "_blank" </w:instrText>
      </w:r>
      <w:r w:rsidRPr="00982695">
        <w:rPr>
          <w:rFonts w:ascii="Times New Roman" w:eastAsia="Times New Roman" w:hAnsi="Times New Roman" w:cs="Times New Roman"/>
          <w:sz w:val="20"/>
          <w:szCs w:val="24"/>
          <w:lang w:eastAsia="ru-RU"/>
        </w:rPr>
        <w:fldChar w:fldCharType="separate"/>
      </w:r>
      <w:r w:rsidRPr="00982695">
        <w:rPr>
          <w:rFonts w:ascii="Times New Roman" w:eastAsia="Times New Roman" w:hAnsi="Times New Roman" w:cs="Times New Roman"/>
          <w:color w:val="0000FF"/>
          <w:sz w:val="20"/>
          <w:szCs w:val="24"/>
          <w:u w:val="single"/>
          <w:lang w:eastAsia="ru-RU"/>
        </w:rPr>
        <w:t>№ 025/о «Медична карта амбулаторного хворого № ___»</w:t>
      </w:r>
      <w:r w:rsidRPr="00982695">
        <w:rPr>
          <w:rFonts w:ascii="Times New Roman" w:eastAsia="Times New Roman" w:hAnsi="Times New Roman" w:cs="Times New Roman"/>
          <w:sz w:val="20"/>
          <w:szCs w:val="24"/>
          <w:lang w:eastAsia="ru-RU"/>
        </w:rPr>
        <w:fldChar w:fldCharType="end"/>
      </w:r>
      <w:r w:rsidRPr="00982695">
        <w:rPr>
          <w:rFonts w:ascii="Times New Roman" w:eastAsia="Times New Roman" w:hAnsi="Times New Roman" w:cs="Times New Roman"/>
          <w:sz w:val="20"/>
          <w:szCs w:val="24"/>
          <w:lang w:eastAsia="ru-RU"/>
        </w:rPr>
        <w:t xml:space="preserve">, затверджена </w:t>
      </w:r>
      <w:hyperlink r:id="rId18" w:tgtFrame="_blank" w:history="1">
        <w:r w:rsidRPr="00982695">
          <w:rPr>
            <w:rFonts w:ascii="Times New Roman" w:eastAsia="Times New Roman" w:hAnsi="Times New Roman" w:cs="Times New Roman"/>
            <w:color w:val="0000FF"/>
            <w:sz w:val="20"/>
            <w:szCs w:val="24"/>
            <w:u w:val="single"/>
            <w:lang w:eastAsia="ru-RU"/>
          </w:rPr>
          <w:t>наказом Міністерства охорони здоров’я України від 14 лютого 2012 року № 110</w:t>
        </w:r>
      </w:hyperlink>
      <w:r w:rsidRPr="00982695">
        <w:rPr>
          <w:rFonts w:ascii="Times New Roman" w:eastAsia="Times New Roman" w:hAnsi="Times New Roman" w:cs="Times New Roman"/>
          <w:sz w:val="20"/>
          <w:szCs w:val="24"/>
          <w:lang w:eastAsia="ru-RU"/>
        </w:rPr>
        <w:t>, зареєстрованим у Міністерстві юстиції України 28 квітня 2012 року за № 661/20974;</w:t>
      </w:r>
    </w:p>
    <w:bookmarkStart w:id="32" w:name="n33"/>
    <w:bookmarkEnd w:id="32"/>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lastRenderedPageBreak/>
        <w:fldChar w:fldCharType="begin"/>
      </w:r>
      <w:r w:rsidRPr="00982695">
        <w:rPr>
          <w:rFonts w:ascii="Times New Roman" w:eastAsia="Times New Roman" w:hAnsi="Times New Roman" w:cs="Times New Roman"/>
          <w:sz w:val="20"/>
          <w:szCs w:val="24"/>
          <w:lang w:eastAsia="ru-RU"/>
        </w:rPr>
        <w:instrText xml:space="preserve"> HYPERLINK "https://zakon.rada.gov.ua/laws/show/va302282-99" \t "_blank" </w:instrText>
      </w:r>
      <w:r w:rsidRPr="00982695">
        <w:rPr>
          <w:rFonts w:ascii="Times New Roman" w:eastAsia="Times New Roman" w:hAnsi="Times New Roman" w:cs="Times New Roman"/>
          <w:sz w:val="20"/>
          <w:szCs w:val="24"/>
          <w:lang w:eastAsia="ru-RU"/>
        </w:rPr>
        <w:fldChar w:fldCharType="separate"/>
      </w:r>
      <w:r w:rsidRPr="00982695">
        <w:rPr>
          <w:rFonts w:ascii="Times New Roman" w:eastAsia="Times New Roman" w:hAnsi="Times New Roman" w:cs="Times New Roman"/>
          <w:color w:val="0000FF"/>
          <w:sz w:val="20"/>
          <w:szCs w:val="24"/>
          <w:u w:val="single"/>
          <w:lang w:eastAsia="ru-RU"/>
        </w:rPr>
        <w:t>№ 025-1/о «Вкладний листок на підлітка до медичної карти амбулаторного хворого»</w:t>
      </w:r>
      <w:r w:rsidRPr="00982695">
        <w:rPr>
          <w:rFonts w:ascii="Times New Roman" w:eastAsia="Times New Roman" w:hAnsi="Times New Roman" w:cs="Times New Roman"/>
          <w:sz w:val="20"/>
          <w:szCs w:val="24"/>
          <w:lang w:eastAsia="ru-RU"/>
        </w:rPr>
        <w:fldChar w:fldCharType="end"/>
      </w:r>
      <w:r w:rsidRPr="00982695">
        <w:rPr>
          <w:rFonts w:ascii="Times New Roman" w:eastAsia="Times New Roman" w:hAnsi="Times New Roman" w:cs="Times New Roman"/>
          <w:sz w:val="20"/>
          <w:szCs w:val="24"/>
          <w:lang w:eastAsia="ru-RU"/>
        </w:rPr>
        <w:t xml:space="preserve">, затверджена </w:t>
      </w:r>
      <w:hyperlink r:id="rId19" w:tgtFrame="_blank" w:history="1">
        <w:r w:rsidRPr="00982695">
          <w:rPr>
            <w:rFonts w:ascii="Times New Roman" w:eastAsia="Times New Roman" w:hAnsi="Times New Roman" w:cs="Times New Roman"/>
            <w:color w:val="0000FF"/>
            <w:sz w:val="20"/>
            <w:szCs w:val="24"/>
            <w:u w:val="single"/>
            <w:lang w:eastAsia="ru-RU"/>
          </w:rPr>
          <w:t>наказом Міністерства охорони здоров’я України від 27 грудня 1999 року № 302</w:t>
        </w:r>
      </w:hyperlink>
      <w:r w:rsidRPr="00982695">
        <w:rPr>
          <w:rFonts w:ascii="Times New Roman" w:eastAsia="Times New Roman" w:hAnsi="Times New Roman" w:cs="Times New Roman"/>
          <w:sz w:val="20"/>
          <w:szCs w:val="24"/>
          <w:lang w:eastAsia="ru-RU"/>
        </w:rPr>
        <w:t>;</w:t>
      </w:r>
    </w:p>
    <w:bookmarkStart w:id="33" w:name="n34"/>
    <w:bookmarkEnd w:id="33"/>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fldChar w:fldCharType="begin"/>
      </w:r>
      <w:r w:rsidRPr="00982695">
        <w:rPr>
          <w:rFonts w:ascii="Times New Roman" w:eastAsia="Times New Roman" w:hAnsi="Times New Roman" w:cs="Times New Roman"/>
          <w:sz w:val="20"/>
          <w:szCs w:val="24"/>
          <w:lang w:eastAsia="ru-RU"/>
        </w:rPr>
        <w:instrText xml:space="preserve"> HYPERLINK "https://zakon.rada.gov.ua/laws/show/z0681-12" \l "n3" \t "_blank" </w:instrText>
      </w:r>
      <w:r w:rsidRPr="00982695">
        <w:rPr>
          <w:rFonts w:ascii="Times New Roman" w:eastAsia="Times New Roman" w:hAnsi="Times New Roman" w:cs="Times New Roman"/>
          <w:sz w:val="20"/>
          <w:szCs w:val="24"/>
          <w:lang w:eastAsia="ru-RU"/>
        </w:rPr>
        <w:fldChar w:fldCharType="separate"/>
      </w:r>
      <w:r w:rsidRPr="00982695">
        <w:rPr>
          <w:rFonts w:ascii="Times New Roman" w:eastAsia="Times New Roman" w:hAnsi="Times New Roman" w:cs="Times New Roman"/>
          <w:color w:val="0000FF"/>
          <w:sz w:val="20"/>
          <w:szCs w:val="24"/>
          <w:u w:val="single"/>
          <w:lang w:eastAsia="ru-RU"/>
        </w:rPr>
        <w:t>№ 086/о «Медична довідка (лікарський консультаційний висновок)</w:t>
      </w:r>
      <w:r w:rsidRPr="00982695">
        <w:rPr>
          <w:rFonts w:ascii="Times New Roman" w:eastAsia="Times New Roman" w:hAnsi="Times New Roman" w:cs="Times New Roman"/>
          <w:sz w:val="20"/>
          <w:szCs w:val="24"/>
          <w:lang w:eastAsia="ru-RU"/>
        </w:rPr>
        <w:fldChar w:fldCharType="end"/>
      </w:r>
      <w:r w:rsidRPr="00982695">
        <w:rPr>
          <w:rFonts w:ascii="Times New Roman" w:eastAsia="Times New Roman" w:hAnsi="Times New Roman" w:cs="Times New Roman"/>
          <w:sz w:val="20"/>
          <w:szCs w:val="24"/>
          <w:lang w:eastAsia="ru-RU"/>
        </w:rPr>
        <w:t xml:space="preserve">», затверджена </w:t>
      </w:r>
      <w:hyperlink r:id="rId20" w:tgtFrame="_blank" w:history="1">
        <w:r w:rsidRPr="00982695">
          <w:rPr>
            <w:rFonts w:ascii="Times New Roman" w:eastAsia="Times New Roman" w:hAnsi="Times New Roman" w:cs="Times New Roman"/>
            <w:color w:val="0000FF"/>
            <w:sz w:val="20"/>
            <w:szCs w:val="24"/>
            <w:u w:val="single"/>
            <w:lang w:eastAsia="ru-RU"/>
          </w:rPr>
          <w:t>наказом Міністерства охорони здоров’я України від 14 лютого 2012 року № 110</w:t>
        </w:r>
      </w:hyperlink>
      <w:r w:rsidRPr="00982695">
        <w:rPr>
          <w:rFonts w:ascii="Times New Roman" w:eastAsia="Times New Roman" w:hAnsi="Times New Roman" w:cs="Times New Roman"/>
          <w:sz w:val="20"/>
          <w:szCs w:val="24"/>
          <w:lang w:eastAsia="ru-RU"/>
        </w:rPr>
        <w:t>, зареєстрованим у Міністерстві юстиції України 28 квітня 2012 року за № 661/20974.</w:t>
      </w: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34" w:name="n35"/>
      <w:bookmarkEnd w:id="34"/>
      <w:r w:rsidRPr="00982695">
        <w:rPr>
          <w:rFonts w:ascii="Times New Roman" w:eastAsia="Times New Roman" w:hAnsi="Times New Roman" w:cs="Times New Roman"/>
          <w:sz w:val="20"/>
          <w:szCs w:val="24"/>
          <w:lang w:eastAsia="ru-RU"/>
        </w:rPr>
        <w:t>6. Підставою для звільнення від проходження державної підсумкової атестації є рішення педагогічної ради загальноосвітнього навчального закладу, на основі якого видається наказ керівника цього навчального закладу.</w:t>
      </w: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35" w:name="n36"/>
      <w:bookmarkEnd w:id="35"/>
      <w:r w:rsidRPr="00982695">
        <w:rPr>
          <w:rFonts w:ascii="Times New Roman" w:eastAsia="Times New Roman" w:hAnsi="Times New Roman" w:cs="Times New Roman"/>
          <w:sz w:val="20"/>
          <w:szCs w:val="24"/>
          <w:lang w:eastAsia="ru-RU"/>
        </w:rPr>
        <w:t xml:space="preserve">7. Учні (вихованці), які не мають можливості пройти державну підсумкову атестацію в установлений строк через хворобу, не включену до переліку захворювань, зобов'язані надати медичну довідку закладу охорони здоров’я, на підставі якої рішенням педагогічної ради загальноосвітнього навчального закладу їм надається право пройти державну підсумкову атестацію, відповідно до пунктів 3.4, 3.9, 3.10 розділу ІІІ </w:t>
      </w:r>
      <w:hyperlink r:id="rId21" w:tgtFrame="_blank" w:history="1">
        <w:r w:rsidRPr="00982695">
          <w:rPr>
            <w:rFonts w:ascii="Times New Roman" w:eastAsia="Times New Roman" w:hAnsi="Times New Roman" w:cs="Times New Roman"/>
            <w:color w:val="0000FF"/>
            <w:sz w:val="20"/>
            <w:szCs w:val="24"/>
            <w:u w:val="single"/>
            <w:lang w:eastAsia="ru-RU"/>
          </w:rPr>
          <w:t>Інструкції про переведення та випуск учнів (вихованців) навчальних закладів системи загальної середньої освіти</w:t>
        </w:r>
      </w:hyperlink>
      <w:r w:rsidRPr="00982695">
        <w:rPr>
          <w:rFonts w:ascii="Times New Roman" w:eastAsia="Times New Roman" w:hAnsi="Times New Roman" w:cs="Times New Roman"/>
          <w:sz w:val="20"/>
          <w:szCs w:val="24"/>
          <w:lang w:eastAsia="ru-RU"/>
        </w:rPr>
        <w:t>, затвердженої наказом Міністерства освіти і науки України від 14 квітня 2008 року № 319, зареєстрованої в Міністерстві юстиції України 06 травня 2008 року за № 383/15074.</w:t>
      </w:r>
    </w:p>
    <w:tbl>
      <w:tblPr>
        <w:tblW w:w="5000" w:type="pct"/>
        <w:tblCellSpacing w:w="0" w:type="dxa"/>
        <w:tblCellMar>
          <w:left w:w="0" w:type="dxa"/>
          <w:right w:w="0" w:type="dxa"/>
        </w:tblCellMar>
        <w:tblLook w:val="04A0" w:firstRow="1" w:lastRow="0" w:firstColumn="1" w:lastColumn="0" w:noHBand="0" w:noVBand="1"/>
      </w:tblPr>
      <w:tblGrid>
        <w:gridCol w:w="4286"/>
        <w:gridCol w:w="5919"/>
      </w:tblGrid>
      <w:tr w:rsidR="00EA434C" w:rsidRPr="00982695" w:rsidTr="00EA434C">
        <w:trPr>
          <w:tblCellSpacing w:w="0" w:type="dxa"/>
        </w:trPr>
        <w:tc>
          <w:tcPr>
            <w:tcW w:w="2100" w:type="pct"/>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36" w:name="n37"/>
            <w:bookmarkEnd w:id="36"/>
            <w:r w:rsidRPr="00982695">
              <w:rPr>
                <w:rFonts w:ascii="Times New Roman" w:eastAsia="Times New Roman" w:hAnsi="Times New Roman" w:cs="Times New Roman"/>
                <w:sz w:val="20"/>
                <w:szCs w:val="24"/>
                <w:lang w:eastAsia="ru-RU"/>
              </w:rPr>
              <w:t xml:space="preserve">Директор департаменту </w:t>
            </w:r>
            <w:r w:rsidRPr="00982695">
              <w:rPr>
                <w:rFonts w:ascii="Times New Roman" w:eastAsia="Times New Roman" w:hAnsi="Times New Roman" w:cs="Times New Roman"/>
                <w:sz w:val="20"/>
                <w:szCs w:val="24"/>
                <w:lang w:eastAsia="ru-RU"/>
              </w:rPr>
              <w:br/>
              <w:t xml:space="preserve">загальної середньої </w:t>
            </w:r>
            <w:r w:rsidRPr="00982695">
              <w:rPr>
                <w:rFonts w:ascii="Times New Roman" w:eastAsia="Times New Roman" w:hAnsi="Times New Roman" w:cs="Times New Roman"/>
                <w:sz w:val="20"/>
                <w:szCs w:val="24"/>
                <w:lang w:eastAsia="ru-RU"/>
              </w:rPr>
              <w:br/>
              <w:t>та дошкільної освіти</w:t>
            </w:r>
          </w:p>
        </w:tc>
        <w:tc>
          <w:tcPr>
            <w:tcW w:w="3500" w:type="pct"/>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br/>
            </w:r>
            <w:r w:rsidRPr="00982695">
              <w:rPr>
                <w:rFonts w:ascii="Times New Roman" w:eastAsia="Times New Roman" w:hAnsi="Times New Roman" w:cs="Times New Roman"/>
                <w:sz w:val="20"/>
                <w:szCs w:val="24"/>
                <w:lang w:eastAsia="ru-RU"/>
              </w:rPr>
              <w:br/>
              <w:t>О.В. Єресько</w:t>
            </w:r>
          </w:p>
        </w:tc>
      </w:tr>
      <w:tr w:rsidR="00EA434C" w:rsidRPr="00982695" w:rsidTr="00EA434C">
        <w:trPr>
          <w:tblCellSpacing w:w="0" w:type="dxa"/>
        </w:trPr>
        <w:tc>
          <w:tcPr>
            <w:tcW w:w="2100" w:type="pct"/>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37" w:name="n38"/>
            <w:bookmarkEnd w:id="37"/>
            <w:r w:rsidRPr="00982695">
              <w:rPr>
                <w:rFonts w:ascii="Times New Roman" w:eastAsia="Times New Roman" w:hAnsi="Times New Roman" w:cs="Times New Roman"/>
                <w:sz w:val="20"/>
                <w:szCs w:val="24"/>
                <w:lang w:eastAsia="ru-RU"/>
              </w:rPr>
              <w:t xml:space="preserve">Директор департаменту </w:t>
            </w:r>
            <w:r w:rsidRPr="00982695">
              <w:rPr>
                <w:rFonts w:ascii="Times New Roman" w:eastAsia="Times New Roman" w:hAnsi="Times New Roman" w:cs="Times New Roman"/>
                <w:sz w:val="20"/>
                <w:szCs w:val="24"/>
                <w:lang w:eastAsia="ru-RU"/>
              </w:rPr>
              <w:br/>
              <w:t xml:space="preserve">реформ та розвитку </w:t>
            </w:r>
            <w:r w:rsidRPr="00982695">
              <w:rPr>
                <w:rFonts w:ascii="Times New Roman" w:eastAsia="Times New Roman" w:hAnsi="Times New Roman" w:cs="Times New Roman"/>
                <w:sz w:val="20"/>
                <w:szCs w:val="24"/>
                <w:lang w:eastAsia="ru-RU"/>
              </w:rPr>
              <w:br/>
              <w:t>медичної допомоги</w:t>
            </w:r>
          </w:p>
        </w:tc>
        <w:tc>
          <w:tcPr>
            <w:tcW w:w="3500" w:type="pct"/>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br/>
            </w:r>
            <w:r w:rsidRPr="00982695">
              <w:rPr>
                <w:rFonts w:ascii="Times New Roman" w:eastAsia="Times New Roman" w:hAnsi="Times New Roman" w:cs="Times New Roman"/>
                <w:sz w:val="20"/>
                <w:szCs w:val="24"/>
                <w:lang w:eastAsia="ru-RU"/>
              </w:rPr>
              <w:br/>
              <w:t>М.К. Хобзей</w:t>
            </w:r>
          </w:p>
        </w:tc>
      </w:tr>
    </w:tbl>
    <w:p w:rsidR="00EA434C" w:rsidRPr="00982695" w:rsidRDefault="00BD74C1" w:rsidP="00EA434C">
      <w:pPr>
        <w:spacing w:after="0" w:line="240" w:lineRule="auto"/>
        <w:rPr>
          <w:rFonts w:ascii="Times New Roman" w:eastAsia="Times New Roman" w:hAnsi="Times New Roman" w:cs="Times New Roman"/>
          <w:sz w:val="20"/>
          <w:szCs w:val="24"/>
          <w:lang w:eastAsia="ru-RU"/>
        </w:rPr>
      </w:pPr>
      <w:bookmarkStart w:id="38" w:name="n39"/>
      <w:bookmarkEnd w:id="38"/>
      <w:r>
        <w:rPr>
          <w:rFonts w:ascii="Times New Roman" w:eastAsia="Times New Roman" w:hAnsi="Times New Roman" w:cs="Times New Roman"/>
          <w:sz w:val="20"/>
          <w:szCs w:val="24"/>
          <w:lang w:eastAsia="ru-RU"/>
        </w:rPr>
        <w:pict>
          <v:rect id="_x0000_i1026" style="width:0;height:1.5pt" o:hralign="center" o:hrstd="t" o:hr="t" fillcolor="#a0a0a0" stroked="f"/>
        </w:pict>
      </w: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val="uk-UA" w:eastAsia="ru-RU"/>
        </w:rPr>
      </w:pPr>
      <w:bookmarkStart w:id="39" w:name="n40"/>
      <w:bookmarkEnd w:id="39"/>
    </w:p>
    <w:p w:rsidR="00EA434C" w:rsidRPr="00982695" w:rsidRDefault="00EA434C" w:rsidP="00EA434C">
      <w:pPr>
        <w:spacing w:before="100" w:beforeAutospacing="1" w:after="100" w:afterAutospacing="1" w:line="240" w:lineRule="auto"/>
        <w:ind w:right="-285"/>
        <w:rPr>
          <w:rFonts w:ascii="Times New Roman" w:eastAsia="Times New Roman" w:hAnsi="Times New Roman" w:cs="Times New Roman"/>
          <w:sz w:val="20"/>
          <w:szCs w:val="24"/>
          <w:lang w:val="uk-UA" w:eastAsia="ru-RU"/>
        </w:rPr>
      </w:pP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val="uk-UA" w:eastAsia="ru-RU"/>
        </w:rPr>
      </w:pP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val="uk-UA" w:eastAsia="ru-RU"/>
        </w:rPr>
      </w:pP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val="uk-UA" w:eastAsia="ru-RU"/>
        </w:rPr>
      </w:pPr>
    </w:p>
    <w:p w:rsidR="00982695" w:rsidRDefault="00982695" w:rsidP="00EA434C">
      <w:pPr>
        <w:spacing w:before="100" w:beforeAutospacing="1" w:after="100" w:afterAutospacing="1" w:line="240" w:lineRule="auto"/>
        <w:rPr>
          <w:rFonts w:ascii="Times New Roman" w:eastAsia="Times New Roman" w:hAnsi="Times New Roman" w:cs="Times New Roman"/>
          <w:sz w:val="24"/>
          <w:szCs w:val="24"/>
          <w:lang w:val="uk-UA" w:eastAsia="ru-RU"/>
        </w:rPr>
      </w:pPr>
    </w:p>
    <w:p w:rsidR="00982695" w:rsidRDefault="00982695" w:rsidP="00EA434C">
      <w:pPr>
        <w:spacing w:before="100" w:beforeAutospacing="1" w:after="100" w:afterAutospacing="1" w:line="240" w:lineRule="auto"/>
        <w:rPr>
          <w:rFonts w:ascii="Times New Roman" w:eastAsia="Times New Roman" w:hAnsi="Times New Roman" w:cs="Times New Roman"/>
          <w:sz w:val="24"/>
          <w:szCs w:val="24"/>
          <w:lang w:val="uk-UA" w:eastAsia="ru-RU"/>
        </w:rPr>
      </w:pPr>
    </w:p>
    <w:p w:rsidR="00982695" w:rsidRDefault="00982695" w:rsidP="00EA434C">
      <w:pPr>
        <w:spacing w:before="100" w:beforeAutospacing="1" w:after="100" w:afterAutospacing="1" w:line="240" w:lineRule="auto"/>
        <w:rPr>
          <w:rFonts w:ascii="Times New Roman" w:eastAsia="Times New Roman" w:hAnsi="Times New Roman" w:cs="Times New Roman"/>
          <w:sz w:val="24"/>
          <w:szCs w:val="24"/>
          <w:lang w:val="uk-UA" w:eastAsia="ru-RU"/>
        </w:rPr>
      </w:pPr>
    </w:p>
    <w:p w:rsidR="00982695" w:rsidRDefault="00982695" w:rsidP="00EA434C">
      <w:pPr>
        <w:spacing w:before="100" w:beforeAutospacing="1" w:after="100" w:afterAutospacing="1" w:line="240" w:lineRule="auto"/>
        <w:rPr>
          <w:rFonts w:ascii="Times New Roman" w:eastAsia="Times New Roman" w:hAnsi="Times New Roman" w:cs="Times New Roman"/>
          <w:sz w:val="24"/>
          <w:szCs w:val="24"/>
          <w:lang w:val="uk-UA" w:eastAsia="ru-RU"/>
        </w:rPr>
      </w:pPr>
    </w:p>
    <w:p w:rsidR="00982695" w:rsidRDefault="00982695" w:rsidP="00EA434C">
      <w:pPr>
        <w:spacing w:before="100" w:beforeAutospacing="1" w:after="100" w:afterAutospacing="1" w:line="240" w:lineRule="auto"/>
        <w:rPr>
          <w:rFonts w:ascii="Times New Roman" w:eastAsia="Times New Roman" w:hAnsi="Times New Roman" w:cs="Times New Roman"/>
          <w:sz w:val="24"/>
          <w:szCs w:val="24"/>
          <w:lang w:val="uk-UA" w:eastAsia="ru-RU"/>
        </w:rPr>
      </w:pPr>
    </w:p>
    <w:p w:rsidR="00982695" w:rsidRDefault="00982695" w:rsidP="00EA434C">
      <w:pPr>
        <w:spacing w:before="100" w:beforeAutospacing="1" w:after="100" w:afterAutospacing="1" w:line="240" w:lineRule="auto"/>
        <w:rPr>
          <w:rFonts w:ascii="Times New Roman" w:eastAsia="Times New Roman" w:hAnsi="Times New Roman" w:cs="Times New Roman"/>
          <w:sz w:val="24"/>
          <w:szCs w:val="24"/>
          <w:lang w:val="uk-UA" w:eastAsia="ru-RU"/>
        </w:rPr>
      </w:pPr>
    </w:p>
    <w:p w:rsidR="00982695" w:rsidRDefault="00982695" w:rsidP="00EA434C">
      <w:pPr>
        <w:spacing w:before="100" w:beforeAutospacing="1" w:after="100" w:afterAutospacing="1" w:line="240" w:lineRule="auto"/>
        <w:rPr>
          <w:rFonts w:ascii="Times New Roman" w:eastAsia="Times New Roman" w:hAnsi="Times New Roman" w:cs="Times New Roman"/>
          <w:sz w:val="24"/>
          <w:szCs w:val="24"/>
          <w:lang w:val="uk-UA" w:eastAsia="ru-RU"/>
        </w:rPr>
      </w:pPr>
    </w:p>
    <w:p w:rsidR="00982695" w:rsidRDefault="00982695" w:rsidP="00EA434C">
      <w:pPr>
        <w:spacing w:before="100" w:beforeAutospacing="1" w:after="100" w:afterAutospacing="1" w:line="240" w:lineRule="auto"/>
        <w:rPr>
          <w:rFonts w:ascii="Times New Roman" w:eastAsia="Times New Roman" w:hAnsi="Times New Roman" w:cs="Times New Roman"/>
          <w:sz w:val="24"/>
          <w:szCs w:val="24"/>
          <w:lang w:val="uk-UA" w:eastAsia="ru-RU"/>
        </w:rPr>
      </w:pPr>
    </w:p>
    <w:p w:rsidR="00982695" w:rsidRDefault="00982695" w:rsidP="00EA434C">
      <w:pPr>
        <w:spacing w:before="100" w:beforeAutospacing="1" w:after="100" w:afterAutospacing="1" w:line="240" w:lineRule="auto"/>
        <w:rPr>
          <w:rFonts w:ascii="Times New Roman" w:eastAsia="Times New Roman" w:hAnsi="Times New Roman" w:cs="Times New Roman"/>
          <w:sz w:val="24"/>
          <w:szCs w:val="24"/>
          <w:lang w:val="uk-UA" w:eastAsia="ru-RU"/>
        </w:rPr>
      </w:pPr>
    </w:p>
    <w:p w:rsidR="00982695" w:rsidRDefault="00982695" w:rsidP="00EA434C">
      <w:pPr>
        <w:spacing w:before="100" w:beforeAutospacing="1" w:after="100" w:afterAutospacing="1" w:line="240" w:lineRule="auto"/>
        <w:rPr>
          <w:rFonts w:ascii="Times New Roman" w:eastAsia="Times New Roman" w:hAnsi="Times New Roman" w:cs="Times New Roman"/>
          <w:sz w:val="24"/>
          <w:szCs w:val="24"/>
          <w:lang w:val="uk-UA" w:eastAsia="ru-RU"/>
        </w:rPr>
      </w:pPr>
    </w:p>
    <w:p w:rsidR="00982695" w:rsidRDefault="00982695" w:rsidP="00EA434C">
      <w:pPr>
        <w:spacing w:before="100" w:beforeAutospacing="1" w:after="100" w:afterAutospacing="1" w:line="240" w:lineRule="auto"/>
        <w:rPr>
          <w:rFonts w:ascii="Times New Roman" w:eastAsia="Times New Roman" w:hAnsi="Times New Roman" w:cs="Times New Roman"/>
          <w:sz w:val="24"/>
          <w:szCs w:val="24"/>
          <w:lang w:val="uk-UA" w:eastAsia="ru-RU"/>
        </w:rPr>
      </w:pPr>
    </w:p>
    <w:p w:rsidR="00982695" w:rsidRDefault="00982695" w:rsidP="00EA434C">
      <w:pPr>
        <w:spacing w:before="100" w:beforeAutospacing="1" w:after="100" w:afterAutospacing="1" w:line="240" w:lineRule="auto"/>
        <w:rPr>
          <w:rFonts w:ascii="Times New Roman" w:eastAsia="Times New Roman" w:hAnsi="Times New Roman" w:cs="Times New Roman"/>
          <w:sz w:val="24"/>
          <w:szCs w:val="24"/>
          <w:lang w:val="uk-UA" w:eastAsia="ru-RU"/>
        </w:rPr>
      </w:pPr>
    </w:p>
    <w:p w:rsidR="00982695" w:rsidRPr="00EA434C" w:rsidRDefault="00982695" w:rsidP="00EA434C">
      <w:pPr>
        <w:spacing w:before="100" w:beforeAutospacing="1" w:after="100" w:afterAutospacing="1" w:line="240" w:lineRule="auto"/>
        <w:rPr>
          <w:rFonts w:ascii="Times New Roman" w:eastAsia="Times New Roman" w:hAnsi="Times New Roman" w:cs="Times New Roman"/>
          <w:sz w:val="24"/>
          <w:szCs w:val="24"/>
          <w:lang w:val="uk-UA" w:eastAsia="ru-RU"/>
        </w:rPr>
      </w:pPr>
    </w:p>
    <w:tbl>
      <w:tblPr>
        <w:tblW w:w="5000" w:type="pct"/>
        <w:tblCellSpacing w:w="0" w:type="dxa"/>
        <w:tblCellMar>
          <w:left w:w="0" w:type="dxa"/>
          <w:right w:w="0" w:type="dxa"/>
        </w:tblCellMar>
        <w:tblLook w:val="04A0" w:firstRow="1" w:lastRow="0" w:firstColumn="1" w:lastColumn="0" w:noHBand="0" w:noVBand="1"/>
      </w:tblPr>
      <w:tblGrid>
        <w:gridCol w:w="5403"/>
        <w:gridCol w:w="4802"/>
      </w:tblGrid>
      <w:tr w:rsidR="00EA434C" w:rsidRPr="00BD74C1" w:rsidTr="00EA434C">
        <w:trPr>
          <w:tblCellSpacing w:w="0" w:type="dxa"/>
        </w:trPr>
        <w:tc>
          <w:tcPr>
            <w:tcW w:w="2250" w:type="pct"/>
            <w:hideMark/>
          </w:tcPr>
          <w:p w:rsidR="00982695" w:rsidRDefault="00982695" w:rsidP="00EA434C">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40" w:name="n41"/>
            <w:bookmarkEnd w:id="40"/>
          </w:p>
          <w:p w:rsidR="00982695" w:rsidRPr="00982695" w:rsidRDefault="00982695" w:rsidP="00EA434C">
            <w:pPr>
              <w:spacing w:before="100" w:beforeAutospacing="1" w:after="100" w:afterAutospacing="1" w:line="240" w:lineRule="auto"/>
              <w:rPr>
                <w:rFonts w:ascii="Times New Roman" w:eastAsia="Times New Roman" w:hAnsi="Times New Roman" w:cs="Times New Roman"/>
                <w:sz w:val="24"/>
                <w:szCs w:val="24"/>
                <w:lang w:val="uk-UA" w:eastAsia="ru-RU"/>
              </w:rPr>
            </w:pPr>
          </w:p>
        </w:tc>
        <w:tc>
          <w:tcPr>
            <w:tcW w:w="2000" w:type="pct"/>
            <w:hideMark/>
          </w:tcPr>
          <w:p w:rsidR="00982695" w:rsidRDefault="00982695" w:rsidP="00EA434C">
            <w:pPr>
              <w:spacing w:before="100" w:beforeAutospacing="1" w:after="100" w:afterAutospacing="1" w:line="240" w:lineRule="auto"/>
              <w:rPr>
                <w:rFonts w:ascii="Times New Roman" w:eastAsia="Times New Roman" w:hAnsi="Times New Roman" w:cs="Times New Roman"/>
                <w:sz w:val="20"/>
                <w:szCs w:val="24"/>
                <w:lang w:val="uk-UA" w:eastAsia="ru-RU"/>
              </w:rPr>
            </w:pPr>
          </w:p>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4"/>
                <w:szCs w:val="24"/>
                <w:lang w:val="uk-UA" w:eastAsia="ru-RU"/>
              </w:rPr>
            </w:pPr>
            <w:r w:rsidRPr="00982695">
              <w:rPr>
                <w:rFonts w:ascii="Times New Roman" w:eastAsia="Times New Roman" w:hAnsi="Times New Roman" w:cs="Times New Roman"/>
                <w:sz w:val="20"/>
                <w:szCs w:val="24"/>
                <w:lang w:val="uk-UA" w:eastAsia="ru-RU"/>
              </w:rPr>
              <w:t xml:space="preserve">Додаток </w:t>
            </w:r>
            <w:r w:rsidRPr="00982695">
              <w:rPr>
                <w:rFonts w:ascii="Times New Roman" w:eastAsia="Times New Roman" w:hAnsi="Times New Roman" w:cs="Times New Roman"/>
                <w:sz w:val="20"/>
                <w:szCs w:val="24"/>
                <w:lang w:val="uk-UA" w:eastAsia="ru-RU"/>
              </w:rPr>
              <w:br/>
              <w:t xml:space="preserve">до Інструкції про звільнення </w:t>
            </w:r>
            <w:r w:rsidRPr="00982695">
              <w:rPr>
                <w:rFonts w:ascii="Times New Roman" w:eastAsia="Times New Roman" w:hAnsi="Times New Roman" w:cs="Times New Roman"/>
                <w:sz w:val="20"/>
                <w:szCs w:val="24"/>
                <w:lang w:val="uk-UA" w:eastAsia="ru-RU"/>
              </w:rPr>
              <w:br/>
              <w:t xml:space="preserve">від проходження державної </w:t>
            </w:r>
            <w:r w:rsidRPr="00982695">
              <w:rPr>
                <w:rFonts w:ascii="Times New Roman" w:eastAsia="Times New Roman" w:hAnsi="Times New Roman" w:cs="Times New Roman"/>
                <w:sz w:val="20"/>
                <w:szCs w:val="24"/>
                <w:lang w:val="uk-UA" w:eastAsia="ru-RU"/>
              </w:rPr>
              <w:br/>
              <w:t xml:space="preserve">підсумкової атестації учнів (вихованців) </w:t>
            </w:r>
            <w:r w:rsidRPr="00982695">
              <w:rPr>
                <w:rFonts w:ascii="Times New Roman" w:eastAsia="Times New Roman" w:hAnsi="Times New Roman" w:cs="Times New Roman"/>
                <w:sz w:val="20"/>
                <w:szCs w:val="24"/>
                <w:lang w:val="uk-UA" w:eastAsia="ru-RU"/>
              </w:rPr>
              <w:br/>
              <w:t xml:space="preserve">загальноосвітніх навчальних закладів </w:t>
            </w:r>
            <w:r w:rsidRPr="00982695">
              <w:rPr>
                <w:rFonts w:ascii="Times New Roman" w:eastAsia="Times New Roman" w:hAnsi="Times New Roman" w:cs="Times New Roman"/>
                <w:sz w:val="20"/>
                <w:szCs w:val="24"/>
                <w:lang w:val="uk-UA" w:eastAsia="ru-RU"/>
              </w:rPr>
              <w:br/>
              <w:t>за станом здоров’я</w:t>
            </w:r>
          </w:p>
        </w:tc>
      </w:tr>
    </w:tbl>
    <w:p w:rsidR="00EA434C" w:rsidRPr="00BD74C1" w:rsidRDefault="00EA434C" w:rsidP="00EA434C">
      <w:pPr>
        <w:spacing w:before="100" w:beforeAutospacing="1" w:after="100" w:afterAutospacing="1" w:line="240" w:lineRule="auto"/>
        <w:rPr>
          <w:rFonts w:ascii="Times New Roman" w:eastAsia="Times New Roman" w:hAnsi="Times New Roman" w:cs="Times New Roman"/>
          <w:sz w:val="20"/>
          <w:szCs w:val="24"/>
          <w:lang w:val="uk-UA" w:eastAsia="ru-RU"/>
        </w:rPr>
      </w:pPr>
      <w:bookmarkStart w:id="41" w:name="n42"/>
      <w:bookmarkEnd w:id="41"/>
      <w:r w:rsidRPr="00BD74C1">
        <w:rPr>
          <w:rFonts w:ascii="Times New Roman" w:eastAsia="Times New Roman" w:hAnsi="Times New Roman" w:cs="Times New Roman"/>
          <w:sz w:val="20"/>
          <w:szCs w:val="24"/>
          <w:lang w:val="uk-UA" w:eastAsia="ru-RU"/>
        </w:rPr>
        <w:t xml:space="preserve">ПЕРЕЛІК </w:t>
      </w:r>
      <w:r w:rsidRPr="00BD74C1">
        <w:rPr>
          <w:rFonts w:ascii="Times New Roman" w:eastAsia="Times New Roman" w:hAnsi="Times New Roman" w:cs="Times New Roman"/>
          <w:sz w:val="20"/>
          <w:szCs w:val="24"/>
          <w:lang w:val="uk-UA" w:eastAsia="ru-RU"/>
        </w:rPr>
        <w:br/>
        <w:t>захворювань, що можуть бути підставою для звільнення учнів (вихованців) загальноосвітніх навчальних закладів від проходження державної підсумкової атестації за станом здоров’я</w:t>
      </w:r>
    </w:p>
    <w:tbl>
      <w:tblPr>
        <w:tblW w:w="5332" w:type="pct"/>
        <w:tblInd w:w="-269"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50"/>
        <w:gridCol w:w="3603"/>
        <w:gridCol w:w="1460"/>
        <w:gridCol w:w="4160"/>
        <w:gridCol w:w="942"/>
      </w:tblGrid>
      <w:tr w:rsidR="00EA434C" w:rsidRPr="00982695" w:rsidTr="00982695">
        <w:trPr>
          <w:trHeight w:val="461"/>
        </w:trPr>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bookmarkStart w:id="42" w:name="n43"/>
            <w:bookmarkEnd w:id="42"/>
            <w:r w:rsidRPr="00982695">
              <w:rPr>
                <w:rFonts w:ascii="Times New Roman" w:eastAsia="Times New Roman" w:hAnsi="Times New Roman" w:cs="Times New Roman"/>
                <w:sz w:val="20"/>
                <w:szCs w:val="24"/>
                <w:lang w:eastAsia="ru-RU"/>
              </w:rPr>
              <w:t>№ з/п</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Назва захворювання</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Допуск до проходження державної підсумкової атестації</w:t>
            </w:r>
          </w:p>
        </w:tc>
      </w:tr>
      <w:tr w:rsidR="00EA434C" w:rsidRPr="00982695" w:rsidTr="00982695">
        <w:trPr>
          <w:trHeight w:val="345"/>
        </w:trPr>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w:t>
            </w:r>
          </w:p>
        </w:tc>
        <w:tc>
          <w:tcPr>
            <w:tcW w:w="10165" w:type="dxa"/>
            <w:gridSpan w:val="4"/>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Інфекційні та паразитарні хвороби</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Гострі інфекційні хвороби (вірусні, бактеріальні та паразитарні)</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Після одужання та закінчення строку ізоляції під контролем клініко-лабораторних обстежень</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1.2</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Активний туберкульоз органів дихання і позалегеневих локалізацій</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рік після виліковування за рішенням ЛКК, за участю лікаря-дитячого фтизіатра</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2</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Злоякісні новоутворення всіх локалізацій</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півроку після завершення лікування, у фазі ремісії, під контролем клініко-лабораторних обстежень. Для хворих дітей, які отримували лікування із трансплантацією стовбурових клітин, через рік після завершення лікування, у фазі ремісії, під контролем клініко-лабораторних обстежень</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3</w:t>
            </w:r>
          </w:p>
        </w:tc>
        <w:tc>
          <w:tcPr>
            <w:tcW w:w="10165" w:type="dxa"/>
            <w:gridSpan w:val="4"/>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Хвороби крові, кровотворних органів та окремі порушення із залученням імунного механізму</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3.1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Анемії (середньо тяжкі і тяжкі форми), пов’язані з харчуванням, гемолітичні анемії</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Після закінчення лікування та нормалізації показників крові під контролем клініко-лабораторних досліджень</w:t>
            </w:r>
          </w:p>
        </w:tc>
      </w:tr>
      <w:tr w:rsidR="00EA434C" w:rsidRPr="00982695" w:rsidTr="00982695">
        <w:trPr>
          <w:trHeight w:val="1065"/>
        </w:trPr>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3.2</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Апластичні анемії вроджені</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3.3</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Апластичні анемії набуті</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рік після закінчення спеціального лікування та нормалізації показників крові під контролем клініко-лабораторних досліджень</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3.4</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Гемофілія (тяжкі форми)</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3.4.1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Гемофілія (легкі та середньотяжкі форми)</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Після закінчення спеціального лікування та нормалізації показників крові під контролем клініко-лабораторних досліджень</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3.5</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Агранулоцитоз</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6 місяців з моменту ремісії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3.6</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Ідіопатична тромбоцитопенічна пурпура (хвороба Верльгофа)</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Не менше ніж через один рік після нормалізації рівня тромбоцитів</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3.7</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Геморагічний васкуліт</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Після закінчення лікування та нормалізації показників крові під контролем клініко-лабораторних досліджень</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3.8</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Стан після трансплантації кісткового мозку, печінки, нирок, інших органів</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5 років після закінчення імуносупресивної терапії в стадії клініко-лабораторної ремісії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3.9</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Вроджені імунодефіцитні стани, що супроводжуються рецидивами інфекційних ускладнень, патологічними змінами кровотворної системи, інших органів</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4</w:t>
            </w:r>
          </w:p>
        </w:tc>
        <w:tc>
          <w:tcPr>
            <w:tcW w:w="10165" w:type="dxa"/>
            <w:gridSpan w:val="4"/>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Хвороби ендокринної системи</w:t>
            </w:r>
          </w:p>
        </w:tc>
      </w:tr>
      <w:tr w:rsidR="00EA434C" w:rsidRPr="00982695" w:rsidTr="00982695">
        <w:trPr>
          <w:trHeight w:val="1605"/>
        </w:trPr>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4.1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Захворювання гіпофіза, щитоподібної залози, наднирників, паращитовидних залоз із значним або помірним порушенням функції в стані клініко-гормональної субкомпенсації або декомпенсації на фоні медикаментозної терапії</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4.2</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Стан після медичних процедур на ендокринній залозі (оперативне видалення, в тому числі часткове, променева терапія тощо) в стані клініко-гормональної субкомпенсації або декомпенсації на фоні замісної терапії</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lastRenderedPageBreak/>
              <w:t>4.3</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Цукровий діабет (стан клініко-метаболічної субкомпенсації або декомпенсації)</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5</w:t>
            </w:r>
          </w:p>
        </w:tc>
        <w:tc>
          <w:tcPr>
            <w:tcW w:w="10165" w:type="dxa"/>
            <w:gridSpan w:val="4"/>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Розлади психіки та поведінки</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5.1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Шизофренія, інші психотичні розлади, що потребують стаціонарного лікування</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Після закінчення стаціонарного лікування за висновком лікаря-дитячого психіатра</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5.2</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Невротичні, пов'язані зі стресом, соматоформні розлади, що потребують стаціонарного лікування</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Після закінчення стаціонарного лікування за висновком лікаря-дитячого психіатра</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5.3</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Депресивні, маніакальні та асоційовані з ними поведінкові розлади, що потребують стаціонарного лікування</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Індивідуально за висновком ЛКК з обов'язковою участю лікаря-дитячого психіатра</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5.4</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Комбіновані вокальні та моторні тики (синдром Туретта) у разі тяжких стійких проявів, що зумовлюють соціальну дезадаптацію</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Після стабілізації клінічного стану за висновком лікаря-дитячого психіатра</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5.5</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Розлади зі спектру аутизму</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6</w:t>
            </w:r>
          </w:p>
        </w:tc>
        <w:tc>
          <w:tcPr>
            <w:tcW w:w="10165" w:type="dxa"/>
            <w:gridSpan w:val="4"/>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Хвороби нервової системи</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6.1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Хронічні не прогресуючі захворювання нервової системи в резидуальному періоді (дитячий</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рік після початку захворювання, індивідуально за висновком ЛКК з обов’язковою</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церебральний параліч, наслідки перенесених інфекційних захворювань нервової системи, травм тощо)</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участю лікаря-дитячого невролога</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6.2</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Прогресуючі захворювання нервової системи (м’язова дистрофія, розсіяний склероз тощо)</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Індивідуально за висновком ЛКК з обов’язковою участю лікаря-дитячого невролога</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6.3</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Захворювання нервової системи в гострому та відновному періодах (6-12 місяців з початку захворювання)</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6.4</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Епілепсія та епілептичні синдроми із судомами два рази на місяць та частіше</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 В інших випадках індивідуально за висновком ЛКК з обов’язковою участю лікаря-дитячого невролога</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6.5</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Spinabifida (неповне закриття хребетного каналу) з вираженими і різко вираженими руховими і тазовими порушеннями</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7</w:t>
            </w:r>
          </w:p>
        </w:tc>
        <w:tc>
          <w:tcPr>
            <w:tcW w:w="10165" w:type="dxa"/>
            <w:gridSpan w:val="4"/>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Хвороби ока та придаткового апарату</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7.1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Запальні захворювання рогівки, склери, судинної оболонки, сітківки, зорового нерва, які мають прогресуючий або рецидивуючий перебіг</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У період ремісії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7.2</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Одностороння та двостороння афакія або артіфакія</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3 місяці після хірургічного втручання, далі – індивідуально залежно від результату лікування</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7.3</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Глаукома з декомпенсацією внутрішньоочного тиску після хірургічного лікування на одному або на обох очах</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Не менше ніж через 6 місяців після операції, далі – індивідуально залежно від результату лікування</w:t>
            </w:r>
          </w:p>
        </w:tc>
      </w:tr>
      <w:tr w:rsidR="00EA434C" w:rsidRPr="00982695" w:rsidTr="00982695">
        <w:trPr>
          <w:trHeight w:val="1236"/>
        </w:trPr>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7.4</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Ускладнена дегенеративна міопія незалежно від ступеня (при хронічній периферичній дистрофії сітківки з наявністю передрозриву чи розриву)</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7.5</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Стан після хірургічного втручання на рогівці, скловидному тілі, сітківці</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Не менше ніж через 6 місяців після операції, далі - індивідуально залежно від результату</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7.6</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Проникаючі поранення і контузії органу зору середнього і важкого ступенів тяжкості</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Не менше ніж через 6 місяців після травми, далі - індивідуально залежно від результату</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8</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Двостороння приглухуватість III, IV ступенів</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 що проводиться в усній та письмовій формах зі сприйняттям тексту на слух</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9</w:t>
            </w:r>
          </w:p>
        </w:tc>
        <w:tc>
          <w:tcPr>
            <w:tcW w:w="10165" w:type="dxa"/>
            <w:gridSpan w:val="4"/>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Хвороби системи кровообігу</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9.1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Гостра ревматична лихоманка</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один рік після останньої атаки під контролем клініко-лабораторних обстежень</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9.2</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Хронічні ревматичні захворювання серця з явищами хронічної серцево-судинної недостатності IІ, ІІІ ступенів</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9.3</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Артеріальна гіпертензія II, III ступенів (діагноз повинен бути підтверджений медичним обстеженням у стаціонарних умовах)</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9.4</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Неревматичні ураження клапанного апарату серця і м'яза (міокардити, ендокардити та перикардити) серця з явищами хронічної серцево-судинної недостатності IІ, ІІІ ступенів</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9.5</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 xml:space="preserve">Кардіоміопатії (дилатаційна, гіпертрофічна, </w:t>
            </w:r>
            <w:r w:rsidRPr="00982695">
              <w:rPr>
                <w:rFonts w:ascii="Times New Roman" w:eastAsia="Times New Roman" w:hAnsi="Times New Roman" w:cs="Times New Roman"/>
                <w:sz w:val="20"/>
                <w:szCs w:val="24"/>
                <w:lang w:eastAsia="ru-RU"/>
              </w:rPr>
              <w:lastRenderedPageBreak/>
              <w:t>рестриктивна)</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lastRenderedPageBreak/>
              <w:t xml:space="preserve">Мають право на постійне звільнення від проходження </w:t>
            </w:r>
            <w:r w:rsidRPr="00982695">
              <w:rPr>
                <w:rFonts w:ascii="Times New Roman" w:eastAsia="Times New Roman" w:hAnsi="Times New Roman" w:cs="Times New Roman"/>
                <w:sz w:val="20"/>
                <w:szCs w:val="24"/>
                <w:lang w:eastAsia="ru-RU"/>
              </w:rPr>
              <w:lastRenderedPageBreak/>
              <w:t>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lastRenderedPageBreak/>
              <w:t>9.6</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Вроджені аномалії системи кровообігу з явищами хронічної серцево-судинної недостатності ІІ, ІІІ ступенів</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9.7</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Стани після хірургічних втручань на серці з явищами хронічної серцево-судинної недостатності IІ, ІІІ ступенів</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9.8</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Хронічна серцево-судинна недостатність IІ,ІІІ ступенів</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9.9</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Порушення серцевого ритму та провідності (одержують протиаритмічні лікарські засоби; отримали лікування методом радіочастотної абляції та (або) з імплантованим кардіостимулятором)</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10</w:t>
            </w:r>
          </w:p>
        </w:tc>
        <w:tc>
          <w:tcPr>
            <w:tcW w:w="10165" w:type="dxa"/>
            <w:gridSpan w:val="4"/>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Хвороби органів дихання</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10.1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Хронічні захворювання нижніх дихальних шляхів, вроджені аномалії легені з частими загостреннями (3 рази на рік і більше), та (або) явищами дихальної недостатності ( II, III ступенів), та (або) легеневою гіпертензією</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10.2</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Хронічні захворювання нижніх дихальних шляхів, вроджені аномалії легені з рідкими загостреннями (до 2 разів на рік)</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Після закінчення загострення</w:t>
            </w:r>
          </w:p>
        </w:tc>
      </w:tr>
      <w:tr w:rsidR="00EA434C" w:rsidRPr="00982695" w:rsidTr="00982695">
        <w:trPr>
          <w:trHeight w:val="960"/>
        </w:trPr>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10.3</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Бронхіальна астма (важкий перебіг) неконтрольована або частково контрольована</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10.4</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Муковісцидоз середнього і</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важкого ступенів тяжкості</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10.5</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Операції з приводу вад розвитку легенів (кіст, лобарної емфіземи, гіпоплазії, секвестрації) і бронхоектатичної хвороби</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6 місяців після операції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10.6</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Пневмонія, підтверджена рентгенологічним дослідженням</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Після одужання</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10.7</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Саркоїдоз</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10.8</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Операції на органах межистіння (трахеї, стравоході, при доброякісних пухлинах і кістах)</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6 місяців після операції</w:t>
            </w:r>
          </w:p>
        </w:tc>
      </w:tr>
      <w:tr w:rsidR="00EA434C" w:rsidRPr="00982695" w:rsidTr="00982695">
        <w:trPr>
          <w:trHeight w:val="1845"/>
        </w:trPr>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10.9</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 xml:space="preserve">Операції з приводу діафрагмальної грижі: </w:t>
            </w:r>
            <w:r w:rsidRPr="00982695">
              <w:rPr>
                <w:rFonts w:ascii="Times New Roman" w:eastAsia="Times New Roman" w:hAnsi="Times New Roman" w:cs="Times New Roman"/>
                <w:sz w:val="20"/>
                <w:szCs w:val="24"/>
                <w:lang w:eastAsia="ru-RU"/>
              </w:rPr>
              <w:br/>
            </w:r>
            <w:r w:rsidRPr="00982695">
              <w:rPr>
                <w:rFonts w:ascii="Times New Roman" w:eastAsia="Times New Roman" w:hAnsi="Times New Roman" w:cs="Times New Roman"/>
                <w:sz w:val="20"/>
                <w:szCs w:val="24"/>
                <w:lang w:eastAsia="ru-RU"/>
              </w:rPr>
              <w:br/>
              <w:t xml:space="preserve">а) неускладнені </w:t>
            </w:r>
            <w:r w:rsidRPr="00982695">
              <w:rPr>
                <w:rFonts w:ascii="Times New Roman" w:eastAsia="Times New Roman" w:hAnsi="Times New Roman" w:cs="Times New Roman"/>
                <w:sz w:val="20"/>
                <w:szCs w:val="24"/>
                <w:lang w:eastAsia="ru-RU"/>
              </w:rPr>
              <w:br/>
            </w:r>
            <w:r w:rsidRPr="00982695">
              <w:rPr>
                <w:rFonts w:ascii="Times New Roman" w:eastAsia="Times New Roman" w:hAnsi="Times New Roman" w:cs="Times New Roman"/>
                <w:sz w:val="20"/>
                <w:szCs w:val="24"/>
                <w:lang w:eastAsia="ru-RU"/>
              </w:rPr>
              <w:br/>
              <w:t>б) за наявності дихальної недостатності</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br/>
            </w:r>
            <w:r w:rsidRPr="00982695">
              <w:rPr>
                <w:rFonts w:ascii="Times New Roman" w:eastAsia="Times New Roman" w:hAnsi="Times New Roman" w:cs="Times New Roman"/>
                <w:sz w:val="20"/>
                <w:szCs w:val="24"/>
                <w:lang w:eastAsia="ru-RU"/>
              </w:rPr>
              <w:br/>
              <w:t xml:space="preserve">Через 6 місяців після операції </w:t>
            </w:r>
            <w:r w:rsidRPr="00982695">
              <w:rPr>
                <w:rFonts w:ascii="Times New Roman" w:eastAsia="Times New Roman" w:hAnsi="Times New Roman" w:cs="Times New Roman"/>
                <w:sz w:val="20"/>
                <w:szCs w:val="24"/>
                <w:lang w:eastAsia="ru-RU"/>
              </w:rPr>
              <w:br/>
            </w:r>
            <w:r w:rsidRPr="00982695">
              <w:rPr>
                <w:rFonts w:ascii="Times New Roman" w:eastAsia="Times New Roman" w:hAnsi="Times New Roman" w:cs="Times New Roman"/>
                <w:sz w:val="20"/>
                <w:szCs w:val="24"/>
                <w:lang w:eastAsia="ru-RU"/>
              </w:rPr>
              <w:b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11</w:t>
            </w:r>
          </w:p>
        </w:tc>
        <w:tc>
          <w:tcPr>
            <w:tcW w:w="10165" w:type="dxa"/>
            <w:gridSpan w:val="4"/>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Хвороби органів травлення</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11.1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Виразка шлунка та (або) дванадцятипалої кишки</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Після закінчення загострення</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11.2</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Неспецифічний виразковий коліт</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Після закінчення загострення</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11.3</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Хвороба Крона (середньо важка та важка форми)</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11.4</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Синдром короткої кишки</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11.5</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Операції на товстій кишці і аноректальній ділянці, ускладнені нетриманням калу</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11.6</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Хронічний гепатит з високим або помірним ступенем активності та (або) фіброзом</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11.7</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Фіброз печінки та (або) цироз печінки</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11.8</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Печінкова недостатність</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11.9</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Хронічний панкреатит</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Після закінчення загострення</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12</w:t>
            </w:r>
          </w:p>
        </w:tc>
        <w:tc>
          <w:tcPr>
            <w:tcW w:w="10165" w:type="dxa"/>
            <w:gridSpan w:val="4"/>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Хвороби шкіри та підшкірної клітковини</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12.1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Псоріаз, атопічний дерматит/екзема, токсична еритема у стадії загострення</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Після закінчення загострення</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12.1.1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Розповсюджені та часто рецидивуючі (2 рази на рік і більше) форми захворювань, зазначених у позиції 12.1</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rPr>
          <w:trHeight w:val="1389"/>
        </w:trPr>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lastRenderedPageBreak/>
              <w:t>12.2</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Аутоімунні хвороби з рецидивуючим та хронічним перебігом (пемфігус, дерматит Дюрінга, бульозний епідермоліз - проста форма, псоріаз артропатичний, субкорнеальний пустульоз Снеддона-Вількінсона</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У період ремісії захворювання</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12.3</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Бульозний епідермоліз - дистрофічна форма, склеродермія з проявами склеродактилії, спадковий кератоз долонно-підошовний, пігментна ксеродерма, псоріаз артропатичний зі стійкими руховими порушеннями</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13</w:t>
            </w:r>
          </w:p>
        </w:tc>
        <w:tc>
          <w:tcPr>
            <w:tcW w:w="10165" w:type="dxa"/>
            <w:gridSpan w:val="4"/>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Хвороби кістково-м’язової системи та сполучної тканини</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13.1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Ревматоїдний артрит, юнацький (ювенільний) артрит та інші запальні артропатії з порушенням функції суглоба і частими загостреннями (2 рази на рік і більше)</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13.2</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Системні хвороби сполучної тканини</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У період ремісії під контролем клініко-лабораторних обстежень</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13.3</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Деформації хребта та (або) грудної клітки III, IV ступенів із значними порушеннями функції органів грудної клітки (не оперовані)</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13.3.1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Стан після операції щодо деформації хребта та (або) грудної клітки</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6 місяців після оперативного втручання</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14</w:t>
            </w:r>
          </w:p>
        </w:tc>
        <w:tc>
          <w:tcPr>
            <w:tcW w:w="10165" w:type="dxa"/>
            <w:gridSpan w:val="4"/>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Хвороби сечостатевої системи</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14.1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Гломерулярні хронічні захворювання нирок, швидко прогресуючий нефритичний синдром, хронічний нефротичний синдром, спадкова нефропатія</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14.2</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Хронічний тубулоінтерстіціальний нефрит у стадії зворотного розвитку</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3 місяці після останнього загострення</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14.3</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Хронічна та неуточнена ниркова недостатність зі стійким порушенням функції нирок</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rPr>
          <w:trHeight w:val="330"/>
        </w:trPr>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14.4</w:t>
            </w:r>
          </w:p>
        </w:tc>
        <w:tc>
          <w:tcPr>
            <w:tcW w:w="10165" w:type="dxa"/>
            <w:gridSpan w:val="4"/>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Гострий нефритичний синдром</w:t>
            </w:r>
          </w:p>
        </w:tc>
      </w:tr>
      <w:tr w:rsidR="00EA434C" w:rsidRPr="00982695" w:rsidTr="00982695">
        <w:trPr>
          <w:trHeight w:val="591"/>
        </w:trPr>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14.4.1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При нормалізації ниркових функцій</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6 місяців після виписки зі стаціонару</w:t>
            </w:r>
          </w:p>
        </w:tc>
      </w:tr>
      <w:tr w:rsidR="00EA434C" w:rsidRPr="00982695" w:rsidTr="00982695">
        <w:trPr>
          <w:trHeight w:val="523"/>
        </w:trPr>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14.4.2</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За наявності синдрому артеріальної гіпертензії</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14.5</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Гострий тубулоінтерстіціальний нефрит</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3 місяці після виписки зі стаціонару, далі - індивідуально залежно від результату</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14.6</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Дизплазія нирок, що супроводжується</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артеріальною гіпертензією</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підсумкової атестації</w:t>
            </w:r>
          </w:p>
        </w:tc>
      </w:tr>
      <w:tr w:rsidR="00EA434C" w:rsidRPr="00982695" w:rsidTr="00982695">
        <w:trPr>
          <w:trHeight w:val="495"/>
        </w:trPr>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14.7</w:t>
            </w:r>
          </w:p>
        </w:tc>
        <w:tc>
          <w:tcPr>
            <w:tcW w:w="10165" w:type="dxa"/>
            <w:gridSpan w:val="4"/>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Гострий гломерулонефрит з нефротичним синдромом</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14.7.1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Гормонорезистентний варіант перебігу</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Після закінчення проведення патогенетичної терапії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14.7.2</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Гормонозалежний варіант перебігу</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2 роки після проведеної патогенетичної терапії у період стійкої ремісії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14.8</w:t>
            </w:r>
          </w:p>
        </w:tc>
        <w:tc>
          <w:tcPr>
            <w:tcW w:w="10165" w:type="dxa"/>
            <w:gridSpan w:val="4"/>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Гостра ниркова недостатність різного ґенезу</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14.8.1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При зниженні клубочкової фільтрації</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14.8.2</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При відсутності порушення функції нирок</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2 роки після закінчення патогенетичної терапії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14.9</w:t>
            </w:r>
          </w:p>
        </w:tc>
        <w:tc>
          <w:tcPr>
            <w:tcW w:w="10165" w:type="dxa"/>
            <w:gridSpan w:val="4"/>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Спадковий нефрит (синдром Альпорта)</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14.9.1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З порушенням функції нирок, за наявності нефротичного синдрому та/або артеріальної гіпертензії</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14.9.2</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При відсутності порушення функції нирок</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3 місяці після виписки зі стаціонару</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14.10</w:t>
            </w:r>
          </w:p>
        </w:tc>
        <w:tc>
          <w:tcPr>
            <w:tcW w:w="10165" w:type="dxa"/>
            <w:gridSpan w:val="4"/>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Оперовані ускладнені вади розвитку нирок і сечовивідних шляхів</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14.10.1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З порушенням уродинаміки та функції нирок</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14.10.2</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Без порушення уродинаміки та функції нирок</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3 місяці після виписки зі стаціонару</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14.11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Операція з приводу варикоцеле, крипторхізму</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2 тижні після виписки зі стаціонару</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15</w:t>
            </w:r>
          </w:p>
        </w:tc>
        <w:tc>
          <w:tcPr>
            <w:tcW w:w="10165" w:type="dxa"/>
            <w:gridSpan w:val="4"/>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Вагітність</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15.1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Патологічна вагітність</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rPr>
          <w:trHeight w:val="675"/>
        </w:trPr>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lastRenderedPageBreak/>
              <w:t>16</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Операція з приводу апендициту</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2 тижні після виписки зі стаціонару</w:t>
            </w:r>
          </w:p>
        </w:tc>
      </w:tr>
      <w:tr w:rsidR="00EA434C" w:rsidRPr="00982695" w:rsidTr="00982695">
        <w:trPr>
          <w:trHeight w:val="630"/>
        </w:trPr>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17</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Операція з приводу пахвинної, пупкової грижі</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2 тижні після виписки зі стаціонару</w:t>
            </w:r>
          </w:p>
        </w:tc>
      </w:tr>
      <w:tr w:rsidR="00EA434C" w:rsidRPr="00982695" w:rsidTr="00982695">
        <w:trPr>
          <w:trHeight w:val="600"/>
        </w:trPr>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18</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Операція з приводу непрохідності кишечника</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1 місяць після виписки зі стаціонару</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19</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Переломи кісток верхніх кінцівок</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1 місяць з дня зняття іммобілізації при проходженні державної підсумкової атестації, яка проводяться в письмовій формі (при переломах кісток провідної руки)</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20</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Переломи кісток нижніх кінцівок</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8 тижнів з дня зняття іммобілізації</w:t>
            </w:r>
          </w:p>
        </w:tc>
      </w:tr>
      <w:tr w:rsidR="00EA434C" w:rsidRPr="00982695" w:rsidTr="00982695">
        <w:trPr>
          <w:trHeight w:val="1005"/>
        </w:trPr>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21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Переломи черепа, хребта</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3 місяці після виписки зі стаціонару, далі - індивідуально залежно від результату</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22</w:t>
            </w:r>
          </w:p>
        </w:tc>
        <w:tc>
          <w:tcPr>
            <w:tcW w:w="10165" w:type="dxa"/>
            <w:gridSpan w:val="4"/>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Черепно-мозкові травми, травматичні ушкодження спинного мозку</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22.1</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Без наслідків або з мінімальними неврологічними порушеннями</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Через 2 місяці після отримання травми</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22.2</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Зі стійкими помірно вираженими і вираженими неврологічними порушеннями</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23</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Наслідки травм, отруєнь та інших впливів зовнішніх причин з вираженими і різко вираженими порушеннями функцій органів і систем</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24</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Стан, пов'язаний з наявністю штучного отвору (трахеостома, гастростома, езофагостома, ілеостома, колостома, цістостома тощо)</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w:t>
            </w:r>
          </w:p>
        </w:tc>
      </w:tr>
      <w:tr w:rsidR="00EA434C" w:rsidRPr="00982695" w:rsidTr="00982695">
        <w:trPr>
          <w:trHeight w:val="1440"/>
        </w:trPr>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25</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Важкі порушення мови (моторна і сенсорна алалія, афазія, виражена дизартрія)</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 що проводиться в усній формі</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26</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Високий ступінь заїкання</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Мають право на постійне звільнення від проходження державної підсумкової атестації, що проводиться в усній формі</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27</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Захворювання, які не увійшли в цей перелік та призвели до помірних, виражених і різко виражених обмежень життєдіяльності (функціональні класи 2 - 4)</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Індивідуально за висновком ЛКК</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28</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Захворювання, яке потребує лікування за кордоном</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Після повернення з лікування за кордоном питання вирішується індивідуально відповідно до діагнозу та періоду перебігу захворювання</w:t>
            </w:r>
          </w:p>
        </w:tc>
      </w:tr>
      <w:tr w:rsidR="00EA434C" w:rsidRPr="00982695" w:rsidTr="00982695">
        <w:tc>
          <w:tcPr>
            <w:tcW w:w="750" w:type="dxa"/>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29</w:t>
            </w:r>
          </w:p>
        </w:tc>
        <w:tc>
          <w:tcPr>
            <w:tcW w:w="5063"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Захворювання, яке потребує реабілітації в умовах санаторно-курортного закладу</w:t>
            </w:r>
          </w:p>
        </w:tc>
        <w:tc>
          <w:tcPr>
            <w:tcW w:w="5102" w:type="dxa"/>
            <w:gridSpan w:val="2"/>
            <w:tcBorders>
              <w:top w:val="outset" w:sz="6" w:space="0" w:color="000000"/>
              <w:left w:val="outset" w:sz="6" w:space="0" w:color="000000"/>
              <w:bottom w:val="outset" w:sz="6" w:space="0" w:color="000000"/>
              <w:right w:val="outset" w:sz="6" w:space="0" w:color="000000"/>
            </w:tcBorders>
            <w:hideMark/>
          </w:tcPr>
          <w:p w:rsidR="00EA434C" w:rsidRPr="00982695" w:rsidRDefault="00EA434C" w:rsidP="00EA434C">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Після повернення з реабілітації питання вирішується індивідуально відповідно до діагнозу та періоду перебігу захворювання</w:t>
            </w:r>
          </w:p>
        </w:tc>
      </w:tr>
      <w:tr w:rsidR="00982695" w:rsidRPr="00982695" w:rsidTr="00982695">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942" w:type="dxa"/>
          <w:trHeight w:val="781"/>
          <w:tblCellSpacing w:w="0" w:type="dxa"/>
        </w:trPr>
        <w:tc>
          <w:tcPr>
            <w:tcW w:w="4353" w:type="dxa"/>
            <w:gridSpan w:val="2"/>
          </w:tcPr>
          <w:p w:rsidR="00982695" w:rsidRPr="00982695" w:rsidRDefault="00982695" w:rsidP="00982695">
            <w:pPr>
              <w:spacing w:before="100" w:beforeAutospacing="1" w:after="100" w:afterAutospacing="1" w:line="240" w:lineRule="auto"/>
              <w:rPr>
                <w:rFonts w:ascii="Times New Roman" w:eastAsia="Times New Roman" w:hAnsi="Times New Roman" w:cs="Times New Roman"/>
                <w:sz w:val="20"/>
                <w:szCs w:val="24"/>
                <w:lang w:eastAsia="ru-RU"/>
              </w:rPr>
            </w:pPr>
            <w:bookmarkStart w:id="43" w:name="n44"/>
            <w:bookmarkEnd w:id="43"/>
          </w:p>
        </w:tc>
        <w:tc>
          <w:tcPr>
            <w:tcW w:w="5620" w:type="dxa"/>
            <w:gridSpan w:val="2"/>
          </w:tcPr>
          <w:p w:rsidR="00982695" w:rsidRPr="00982695" w:rsidRDefault="00982695" w:rsidP="00982695">
            <w:pPr>
              <w:spacing w:before="100" w:beforeAutospacing="1" w:after="100" w:afterAutospacing="1" w:line="240" w:lineRule="auto"/>
              <w:rPr>
                <w:rFonts w:ascii="Times New Roman" w:eastAsia="Times New Roman" w:hAnsi="Times New Roman" w:cs="Times New Roman"/>
                <w:sz w:val="20"/>
                <w:szCs w:val="24"/>
                <w:lang w:eastAsia="ru-RU"/>
              </w:rPr>
            </w:pPr>
          </w:p>
        </w:tc>
      </w:tr>
      <w:tr w:rsidR="00982695" w:rsidRPr="00982695" w:rsidTr="00982695">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942" w:type="dxa"/>
          <w:trHeight w:val="781"/>
          <w:tblCellSpacing w:w="0" w:type="dxa"/>
        </w:trPr>
        <w:tc>
          <w:tcPr>
            <w:tcW w:w="4353" w:type="dxa"/>
            <w:gridSpan w:val="2"/>
          </w:tcPr>
          <w:p w:rsidR="00982695" w:rsidRPr="00982695" w:rsidRDefault="00982695" w:rsidP="00A54049">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t xml:space="preserve">Директор департаменту </w:t>
            </w:r>
            <w:r w:rsidRPr="00982695">
              <w:rPr>
                <w:rFonts w:ascii="Times New Roman" w:eastAsia="Times New Roman" w:hAnsi="Times New Roman" w:cs="Times New Roman"/>
                <w:sz w:val="20"/>
                <w:szCs w:val="24"/>
                <w:lang w:eastAsia="ru-RU"/>
              </w:rPr>
              <w:br/>
              <w:t xml:space="preserve">реформ та розвитку </w:t>
            </w:r>
            <w:r w:rsidRPr="00982695">
              <w:rPr>
                <w:rFonts w:ascii="Times New Roman" w:eastAsia="Times New Roman" w:hAnsi="Times New Roman" w:cs="Times New Roman"/>
                <w:sz w:val="20"/>
                <w:szCs w:val="24"/>
                <w:lang w:eastAsia="ru-RU"/>
              </w:rPr>
              <w:br/>
              <w:t>медичної допомоги</w:t>
            </w:r>
          </w:p>
        </w:tc>
        <w:tc>
          <w:tcPr>
            <w:tcW w:w="5620" w:type="dxa"/>
            <w:gridSpan w:val="2"/>
          </w:tcPr>
          <w:p w:rsidR="00982695" w:rsidRPr="00982695" w:rsidRDefault="00982695" w:rsidP="00A54049">
            <w:pPr>
              <w:spacing w:before="100" w:beforeAutospacing="1" w:after="100" w:afterAutospacing="1" w:line="240" w:lineRule="auto"/>
              <w:rPr>
                <w:rFonts w:ascii="Times New Roman" w:eastAsia="Times New Roman" w:hAnsi="Times New Roman" w:cs="Times New Roman"/>
                <w:sz w:val="20"/>
                <w:szCs w:val="24"/>
                <w:lang w:eastAsia="ru-RU"/>
              </w:rPr>
            </w:pPr>
            <w:r w:rsidRPr="00982695">
              <w:rPr>
                <w:rFonts w:ascii="Times New Roman" w:eastAsia="Times New Roman" w:hAnsi="Times New Roman" w:cs="Times New Roman"/>
                <w:sz w:val="20"/>
                <w:szCs w:val="24"/>
                <w:lang w:eastAsia="ru-RU"/>
              </w:rPr>
              <w:br/>
            </w:r>
            <w:r w:rsidRPr="00982695">
              <w:rPr>
                <w:rFonts w:ascii="Times New Roman" w:eastAsia="Times New Roman" w:hAnsi="Times New Roman" w:cs="Times New Roman"/>
                <w:sz w:val="20"/>
                <w:szCs w:val="24"/>
                <w:lang w:eastAsia="ru-RU"/>
              </w:rPr>
              <w:br/>
              <w:t>М.К. Хобзей</w:t>
            </w:r>
          </w:p>
        </w:tc>
      </w:tr>
    </w:tbl>
    <w:p w:rsidR="00AD0E53" w:rsidRPr="00982695" w:rsidRDefault="00AD0E53" w:rsidP="00EA434C">
      <w:pPr>
        <w:rPr>
          <w:lang w:val="uk-UA"/>
        </w:rPr>
      </w:pPr>
    </w:p>
    <w:sectPr w:rsidR="00AD0E53" w:rsidRPr="00982695" w:rsidSect="00982695">
      <w:pgSz w:w="11906" w:h="16838"/>
      <w:pgMar w:top="142"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A3"/>
    <w:rsid w:val="000E39A3"/>
    <w:rsid w:val="00982695"/>
    <w:rsid w:val="00AD0E53"/>
    <w:rsid w:val="00BD74C1"/>
    <w:rsid w:val="00EA4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A434C"/>
  </w:style>
  <w:style w:type="paragraph" w:customStyle="1" w:styleId="rvps4">
    <w:name w:val="rvps4"/>
    <w:basedOn w:val="a"/>
    <w:rsid w:val="00EA4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EA4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A434C"/>
  </w:style>
  <w:style w:type="character" w:customStyle="1" w:styleId="rvts23">
    <w:name w:val="rvts23"/>
    <w:basedOn w:val="a0"/>
    <w:rsid w:val="00EA434C"/>
  </w:style>
  <w:style w:type="paragraph" w:customStyle="1" w:styleId="rvps7">
    <w:name w:val="rvps7"/>
    <w:basedOn w:val="a"/>
    <w:rsid w:val="00EA4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A434C"/>
  </w:style>
  <w:style w:type="paragraph" w:customStyle="1" w:styleId="rvps14">
    <w:name w:val="rvps14"/>
    <w:basedOn w:val="a"/>
    <w:rsid w:val="00EA4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EA4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A4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A434C"/>
    <w:rPr>
      <w:color w:val="0000FF"/>
      <w:u w:val="single"/>
    </w:rPr>
  </w:style>
  <w:style w:type="character" w:customStyle="1" w:styleId="rvts52">
    <w:name w:val="rvts52"/>
    <w:basedOn w:val="a0"/>
    <w:rsid w:val="00EA434C"/>
  </w:style>
  <w:style w:type="character" w:customStyle="1" w:styleId="rvts44">
    <w:name w:val="rvts44"/>
    <w:basedOn w:val="a0"/>
    <w:rsid w:val="00EA434C"/>
  </w:style>
  <w:style w:type="paragraph" w:customStyle="1" w:styleId="rvps15">
    <w:name w:val="rvps15"/>
    <w:basedOn w:val="a"/>
    <w:rsid w:val="00EA4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EA4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EA434C"/>
  </w:style>
  <w:style w:type="paragraph" w:customStyle="1" w:styleId="rvps12">
    <w:name w:val="rvps12"/>
    <w:basedOn w:val="a"/>
    <w:rsid w:val="00EA43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A434C"/>
  </w:style>
  <w:style w:type="paragraph" w:customStyle="1" w:styleId="rvps4">
    <w:name w:val="rvps4"/>
    <w:basedOn w:val="a"/>
    <w:rsid w:val="00EA4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EA4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A434C"/>
  </w:style>
  <w:style w:type="character" w:customStyle="1" w:styleId="rvts23">
    <w:name w:val="rvts23"/>
    <w:basedOn w:val="a0"/>
    <w:rsid w:val="00EA434C"/>
  </w:style>
  <w:style w:type="paragraph" w:customStyle="1" w:styleId="rvps7">
    <w:name w:val="rvps7"/>
    <w:basedOn w:val="a"/>
    <w:rsid w:val="00EA4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A434C"/>
  </w:style>
  <w:style w:type="paragraph" w:customStyle="1" w:styleId="rvps14">
    <w:name w:val="rvps14"/>
    <w:basedOn w:val="a"/>
    <w:rsid w:val="00EA4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EA4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A4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A434C"/>
    <w:rPr>
      <w:color w:val="0000FF"/>
      <w:u w:val="single"/>
    </w:rPr>
  </w:style>
  <w:style w:type="character" w:customStyle="1" w:styleId="rvts52">
    <w:name w:val="rvts52"/>
    <w:basedOn w:val="a0"/>
    <w:rsid w:val="00EA434C"/>
  </w:style>
  <w:style w:type="character" w:customStyle="1" w:styleId="rvts44">
    <w:name w:val="rvts44"/>
    <w:basedOn w:val="a0"/>
    <w:rsid w:val="00EA434C"/>
  </w:style>
  <w:style w:type="paragraph" w:customStyle="1" w:styleId="rvps15">
    <w:name w:val="rvps15"/>
    <w:basedOn w:val="a"/>
    <w:rsid w:val="00EA4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EA4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EA434C"/>
  </w:style>
  <w:style w:type="paragraph" w:customStyle="1" w:styleId="rvps12">
    <w:name w:val="rvps12"/>
    <w:basedOn w:val="a"/>
    <w:rsid w:val="00EA43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07029">
      <w:bodyDiv w:val="1"/>
      <w:marLeft w:val="0"/>
      <w:marRight w:val="0"/>
      <w:marTop w:val="0"/>
      <w:marBottom w:val="0"/>
      <w:divBdr>
        <w:top w:val="none" w:sz="0" w:space="0" w:color="auto"/>
        <w:left w:val="none" w:sz="0" w:space="0" w:color="auto"/>
        <w:bottom w:val="none" w:sz="0" w:space="0" w:color="auto"/>
        <w:right w:val="none" w:sz="0" w:space="0" w:color="auto"/>
      </w:divBdr>
      <w:divsChild>
        <w:div w:id="1402292040">
          <w:marLeft w:val="0"/>
          <w:marRight w:val="0"/>
          <w:marTop w:val="0"/>
          <w:marBottom w:val="0"/>
          <w:divBdr>
            <w:top w:val="none" w:sz="0" w:space="0" w:color="auto"/>
            <w:left w:val="none" w:sz="0" w:space="0" w:color="auto"/>
            <w:bottom w:val="none" w:sz="0" w:space="0" w:color="auto"/>
            <w:right w:val="none" w:sz="0" w:space="0" w:color="auto"/>
          </w:divBdr>
          <w:divsChild>
            <w:div w:id="327446081">
              <w:marLeft w:val="0"/>
              <w:marRight w:val="0"/>
              <w:marTop w:val="0"/>
              <w:marBottom w:val="0"/>
              <w:divBdr>
                <w:top w:val="none" w:sz="0" w:space="0" w:color="auto"/>
                <w:left w:val="none" w:sz="0" w:space="0" w:color="auto"/>
                <w:bottom w:val="none" w:sz="0" w:space="0" w:color="auto"/>
                <w:right w:val="none" w:sz="0" w:space="0" w:color="auto"/>
              </w:divBdr>
              <w:divsChild>
                <w:div w:id="1726836722">
                  <w:marLeft w:val="0"/>
                  <w:marRight w:val="0"/>
                  <w:marTop w:val="0"/>
                  <w:marBottom w:val="0"/>
                  <w:divBdr>
                    <w:top w:val="none" w:sz="0" w:space="0" w:color="auto"/>
                    <w:left w:val="none" w:sz="0" w:space="0" w:color="auto"/>
                    <w:bottom w:val="none" w:sz="0" w:space="0" w:color="auto"/>
                    <w:right w:val="none" w:sz="0" w:space="0" w:color="auto"/>
                  </w:divBdr>
                </w:div>
                <w:div w:id="426117186">
                  <w:marLeft w:val="0"/>
                  <w:marRight w:val="0"/>
                  <w:marTop w:val="0"/>
                  <w:marBottom w:val="0"/>
                  <w:divBdr>
                    <w:top w:val="none" w:sz="0" w:space="0" w:color="auto"/>
                    <w:left w:val="none" w:sz="0" w:space="0" w:color="auto"/>
                    <w:bottom w:val="none" w:sz="0" w:space="0" w:color="auto"/>
                    <w:right w:val="none" w:sz="0" w:space="0" w:color="auto"/>
                  </w:divBdr>
                </w:div>
                <w:div w:id="1571304873">
                  <w:marLeft w:val="0"/>
                  <w:marRight w:val="0"/>
                  <w:marTop w:val="0"/>
                  <w:marBottom w:val="0"/>
                  <w:divBdr>
                    <w:top w:val="none" w:sz="0" w:space="0" w:color="auto"/>
                    <w:left w:val="none" w:sz="0" w:space="0" w:color="auto"/>
                    <w:bottom w:val="none" w:sz="0" w:space="0" w:color="auto"/>
                    <w:right w:val="none" w:sz="0" w:space="0" w:color="auto"/>
                  </w:divBdr>
                </w:div>
                <w:div w:id="1634867146">
                  <w:marLeft w:val="0"/>
                  <w:marRight w:val="0"/>
                  <w:marTop w:val="0"/>
                  <w:marBottom w:val="0"/>
                  <w:divBdr>
                    <w:top w:val="none" w:sz="0" w:space="0" w:color="auto"/>
                    <w:left w:val="none" w:sz="0" w:space="0" w:color="auto"/>
                    <w:bottom w:val="none" w:sz="0" w:space="0" w:color="auto"/>
                    <w:right w:val="none" w:sz="0" w:space="0" w:color="auto"/>
                  </w:divBdr>
                </w:div>
                <w:div w:id="1199200460">
                  <w:marLeft w:val="0"/>
                  <w:marRight w:val="0"/>
                  <w:marTop w:val="0"/>
                  <w:marBottom w:val="0"/>
                  <w:divBdr>
                    <w:top w:val="none" w:sz="0" w:space="0" w:color="auto"/>
                    <w:left w:val="none" w:sz="0" w:space="0" w:color="auto"/>
                    <w:bottom w:val="none" w:sz="0" w:space="0" w:color="auto"/>
                    <w:right w:val="none" w:sz="0" w:space="0" w:color="auto"/>
                  </w:divBdr>
                </w:div>
                <w:div w:id="1398211659">
                  <w:marLeft w:val="0"/>
                  <w:marRight w:val="0"/>
                  <w:marTop w:val="0"/>
                  <w:marBottom w:val="0"/>
                  <w:divBdr>
                    <w:top w:val="none" w:sz="0" w:space="0" w:color="auto"/>
                    <w:left w:val="none" w:sz="0" w:space="0" w:color="auto"/>
                    <w:bottom w:val="none" w:sz="0" w:space="0" w:color="auto"/>
                    <w:right w:val="none" w:sz="0" w:space="0" w:color="auto"/>
                  </w:divBdr>
                </w:div>
                <w:div w:id="20018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098-96" TargetMode="External"/><Relationship Id="rId13" Type="http://schemas.openxmlformats.org/officeDocument/2006/relationships/hyperlink" Target="https://zakon.rada.gov.ua/laws/show/z0288-13" TargetMode="External"/><Relationship Id="rId18" Type="http://schemas.openxmlformats.org/officeDocument/2006/relationships/hyperlink" Target="https://zakon.rada.gov.ua/laws/show/z0661-12" TargetMode="External"/><Relationship Id="rId3" Type="http://schemas.openxmlformats.org/officeDocument/2006/relationships/settings" Target="settings.xml"/><Relationship Id="rId21" Type="http://schemas.openxmlformats.org/officeDocument/2006/relationships/hyperlink" Target="https://zakon.rada.gov.ua/laws/show/z0383-08" TargetMode="External"/><Relationship Id="rId7" Type="http://schemas.openxmlformats.org/officeDocument/2006/relationships/hyperlink" Target="https://zakon.rada.gov.ua/laws/show/z0288-13" TargetMode="External"/><Relationship Id="rId12" Type="http://schemas.openxmlformats.org/officeDocument/2006/relationships/hyperlink" Target="https://zakon.rada.gov.ua/laws/show/z0383-08" TargetMode="External"/><Relationship Id="rId17" Type="http://schemas.openxmlformats.org/officeDocument/2006/relationships/hyperlink" Target="https://zakon.rada.gov.ua/laws/show/v0302282-99" TargetMode="External"/><Relationship Id="rId2" Type="http://schemas.microsoft.com/office/2007/relationships/stylesWithEffects" Target="stylesWithEffects.xml"/><Relationship Id="rId16" Type="http://schemas.openxmlformats.org/officeDocument/2006/relationships/hyperlink" Target="https://zakon.rada.gov.ua/laws/show/v0302282-99" TargetMode="External"/><Relationship Id="rId20" Type="http://schemas.openxmlformats.org/officeDocument/2006/relationships/hyperlink" Target="https://zakon.rada.gov.ua/laws/show/z0661-12" TargetMode="External"/><Relationship Id="rId1" Type="http://schemas.openxmlformats.org/officeDocument/2006/relationships/styles" Target="styles.xml"/><Relationship Id="rId6" Type="http://schemas.openxmlformats.org/officeDocument/2006/relationships/hyperlink" Target="https://zakon.rada.gov.ua/laws/show/778-2010-%D0%BF" TargetMode="External"/><Relationship Id="rId11" Type="http://schemas.openxmlformats.org/officeDocument/2006/relationships/hyperlink" Target="https://zakon.rada.gov.ua/laws/show/z0151-08" TargetMode="External"/><Relationship Id="rId5" Type="http://schemas.openxmlformats.org/officeDocument/2006/relationships/hyperlink" Target="https://zakon.rada.gov.ua/laws/show/651-14" TargetMode="External"/><Relationship Id="rId15" Type="http://schemas.openxmlformats.org/officeDocument/2006/relationships/hyperlink" Target="https://zakon.rada.gov.ua/laws/show/504/96-%D0%B2%D1%80" TargetMode="External"/><Relationship Id="rId23" Type="http://schemas.openxmlformats.org/officeDocument/2006/relationships/theme" Target="theme/theme1.xml"/><Relationship Id="rId10" Type="http://schemas.openxmlformats.org/officeDocument/2006/relationships/hyperlink" Target="https://zakon.rada.gov.ua/laws/show/778-2010-%D0%BF" TargetMode="External"/><Relationship Id="rId19" Type="http://schemas.openxmlformats.org/officeDocument/2006/relationships/hyperlink" Target="https://zakon.rada.gov.ua/laws/show/v0302282-99" TargetMode="External"/><Relationship Id="rId4" Type="http://schemas.openxmlformats.org/officeDocument/2006/relationships/webSettings" Target="webSettings.xml"/><Relationship Id="rId9" Type="http://schemas.openxmlformats.org/officeDocument/2006/relationships/hyperlink" Target="https://zakon.rada.gov.ua/laws/show/651-14" TargetMode="External"/><Relationship Id="rId14" Type="http://schemas.openxmlformats.org/officeDocument/2006/relationships/hyperlink" Target="https://zakon.rada.gov.ua/laws/show/504/96-%D0%B2%D1%8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3948</Words>
  <Characters>22509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2020-01-28T14:13:00Z</cp:lastPrinted>
  <dcterms:created xsi:type="dcterms:W3CDTF">2020-01-28T12:42:00Z</dcterms:created>
  <dcterms:modified xsi:type="dcterms:W3CDTF">2020-01-29T10:03:00Z</dcterms:modified>
</cp:coreProperties>
</file>